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DejaVu Sans" w:hAnsi="DejaVu Sans" w:eastAsia="DejaVu Sans"/>
          <w:b/>
          <w:i w:val="0"/>
          <w:color w:val="E77A1B"/>
          <w:sz w:val="20"/>
        </w:rPr>
        <w:t>ОБРАЗЕЦ / SAMPLE / ՆՄՈՒՇ</w:t>
      </w:r>
    </w:p>
    <w:p>
      <w:pPr>
        <w:pStyle w:val="Title"/>
        <w:jc w:val="center"/>
      </w:pPr>
      <w:r>
        <w:rPr>
          <w:rFonts w:ascii="DejaVu Sans" w:hAnsi="DejaVu Sans" w:eastAsia="DejaVu Sans"/>
          <w:b/>
          <w:i w:val="0"/>
          <w:color w:val="1F4E79"/>
          <w:sz w:val="32"/>
        </w:rPr>
        <w:t>ԾԱՌԱՅՈՒԹՅՈՒՆՆԵՐԻ ՄԱՏՈՒՑՄԱՆ ՊԱՅՄԱՆԱԳԻՐ</w:t>
        <w:br/>
        <w:t>ԻՐԱՎԱԲԱՆԱԿԱՆ ՀԱՍՑԵԻ ՏՐԱՄԱԴՐՄԱՆ ՄԱՍԻՆ</w:t>
      </w:r>
    </w:p>
    <w:p>
      <w:pPr>
        <w:jc w:val="center"/>
      </w:pPr>
      <w:r>
        <w:rPr>
          <w:rFonts w:ascii="DejaVu Sans" w:hAnsi="DejaVu Sans" w:eastAsia="DejaVu Sans"/>
          <w:b w:val="0"/>
          <w:i/>
          <w:color w:val="5B6573"/>
          <w:sz w:val="20"/>
        </w:rPr>
        <w:t>Փոստային սպասարկումը սույն պայմանագրի առարկայի մեջ չի մտնում</w:t>
      </w:r>
    </w:p>
    <w:tbl>
      <w:tblPr>
        <w:tblW w:type="auto" w:w="0"/>
        <w:jc w:val="center"/>
        <w:tblLook w:firstColumn="1" w:firstRow="1" w:lastColumn="0" w:lastRow="0" w:noHBand="0" w:noVBand="1" w:val="04A0"/>
      </w:tblPr>
      <w:tblGrid>
        <w:gridCol w:w="9972"/>
      </w:tblGrid>
      <w:tr>
        <w:tc>
          <w:tcPr>
            <w:tcW w:type="dxa" w:w="9972"/>
            <w:shd w:fill="FFF3E8"/>
            <w:tcMar>
              <w:top w:w="140" w:type="dxa"/>
              <w:start w:w="180" w:type="dxa"/>
              <w:bottom w:w="140" w:type="dxa"/>
              <w:end w:w="180" w:type="dxa"/>
            </w:tcMar>
          </w:tcPr>
          <w:p>
            <w:r>
              <w:rPr>
                <w:rFonts w:ascii="DejaVu Sans" w:hAnsi="DejaVu Sans" w:eastAsia="DejaVu Sans"/>
                <w:b/>
                <w:i w:val="0"/>
                <w:color w:val="E77A1B"/>
                <w:sz w:val="19"/>
              </w:rPr>
              <w:t>Ознакомительный образец. Не является публичной офертой. Перед подписанием договор заполняется и согласовывается с учётом данных клиента, выбранного тарифа и фактических полномочий сторон.</w:t>
            </w:r>
          </w:p>
        </w:tc>
      </w:tr>
    </w:tbl>
    <w:p>
      <w:pPr>
        <w:spacing w:after="0"/>
      </w:pPr>
    </w:p>
    <w:tbl>
      <w:tblPr>
        <w:tblW w:type="auto" w:w="0"/>
        <w:jc w:val="center"/>
        <w:tblLook w:firstColumn="1" w:firstRow="1" w:lastColumn="0" w:lastRow="0" w:noHBand="0" w:noVBand="1" w:val="04A0"/>
      </w:tblPr>
      <w:tblGrid>
        <w:gridCol w:w="4986"/>
        <w:gridCol w:w="4986"/>
      </w:tblGrid>
      <w:tr>
        <w:tc>
          <w:tcPr>
            <w:tcW w:type="dxa" w:w="4986"/>
            <w:tcMar>
              <w:top w:w="120" w:type="dxa"/>
              <w:start w:w="140" w:type="dxa"/>
              <w:bottom w:w="120" w:type="dxa"/>
              <w:end w:w="140" w:type="dxa"/>
            </w:tcMar>
          </w:tcPr>
          <w:p>
            <w:r>
              <w:rPr>
                <w:rFonts w:ascii="DejaVu Sans" w:hAnsi="DejaVu Sans" w:eastAsia="DejaVu Sans"/>
                <w:b/>
                <w:i w:val="0"/>
                <w:color w:val="1F4E79"/>
                <w:sz w:val="19"/>
              </w:rPr>
              <w:t xml:space="preserve">Պայմանագիր №: </w:t>
            </w:r>
            <w:r>
              <w:rPr>
                <w:rFonts w:ascii="DejaVu Sans" w:hAnsi="DejaVu Sans" w:eastAsia="DejaVu Sans"/>
                <w:b w:val="0"/>
                <w:i w:val="0"/>
                <w:sz w:val="19"/>
              </w:rPr>
              <w:t>[ԼՐԱՑՆԵԼ]</w:t>
            </w:r>
          </w:p>
        </w:tc>
        <w:tc>
          <w:tcPr>
            <w:tcW w:type="dxa" w:w="4986"/>
            <w:tcMar>
              <w:top w:w="120" w:type="dxa"/>
              <w:start w:w="140" w:type="dxa"/>
              <w:bottom w:w="120" w:type="dxa"/>
              <w:end w:w="140" w:type="dxa"/>
            </w:tcMar>
          </w:tcPr>
          <w:p>
            <w:r>
              <w:rPr>
                <w:rFonts w:ascii="DejaVu Sans" w:hAnsi="DejaVu Sans" w:eastAsia="DejaVu Sans"/>
                <w:b/>
                <w:i w:val="0"/>
                <w:color w:val="1F4E79"/>
                <w:sz w:val="19"/>
              </w:rPr>
              <w:t xml:space="preserve">Վայրը և ամսաթիվը: </w:t>
            </w:r>
            <w:r>
              <w:rPr>
                <w:rFonts w:ascii="DejaVu Sans" w:hAnsi="DejaVu Sans" w:eastAsia="DejaVu Sans"/>
                <w:b w:val="0"/>
                <w:i w:val="0"/>
                <w:sz w:val="19"/>
              </w:rPr>
              <w:t>ք. Երևան, «___» __________ 2026 թ.</w:t>
            </w:r>
          </w:p>
        </w:tc>
      </w:tr>
      <w:tr>
        <w:tc>
          <w:tcPr>
            <w:tcW w:type="dxa" w:w="4986"/>
            <w:tcMar>
              <w:top w:w="120" w:type="dxa"/>
              <w:start w:w="140" w:type="dxa"/>
              <w:bottom w:w="120" w:type="dxa"/>
              <w:end w:w="140" w:type="dxa"/>
            </w:tcMar>
          </w:tcPr>
          <w:p>
            <w:r>
              <w:rPr>
                <w:rFonts w:ascii="DejaVu Sans" w:hAnsi="DejaVu Sans" w:eastAsia="DejaVu Sans"/>
                <w:b/>
                <w:i w:val="0"/>
                <w:color w:val="1F4E79"/>
                <w:sz w:val="19"/>
              </w:rPr>
              <w:t xml:space="preserve">Արժեքը: </w:t>
            </w:r>
            <w:r>
              <w:rPr>
                <w:rFonts w:ascii="DejaVu Sans" w:hAnsi="DejaVu Sans" w:eastAsia="DejaVu Sans"/>
                <w:b w:val="0"/>
                <w:i w:val="0"/>
                <w:sz w:val="19"/>
              </w:rPr>
              <w:t>120 000 AMD՝ 12 ամսվա համար</w:t>
            </w:r>
          </w:p>
        </w:tc>
        <w:tc>
          <w:tcPr>
            <w:tcW w:type="dxa" w:w="4986"/>
            <w:tcMar>
              <w:top w:w="120" w:type="dxa"/>
              <w:start w:w="140" w:type="dxa"/>
              <w:bottom w:w="120" w:type="dxa"/>
              <w:end w:w="140" w:type="dxa"/>
            </w:tcMar>
          </w:tcPr>
          <w:p>
            <w:r>
              <w:rPr>
                <w:rFonts w:ascii="DejaVu Sans" w:hAnsi="DejaVu Sans" w:eastAsia="DejaVu Sans"/>
                <w:b/>
                <w:i w:val="0"/>
                <w:color w:val="1F4E79"/>
                <w:sz w:val="19"/>
              </w:rPr>
              <w:t xml:space="preserve">Ժամկետը: </w:t>
            </w:r>
            <w:r>
              <w:rPr>
                <w:rFonts w:ascii="DejaVu Sans" w:hAnsi="DejaVu Sans" w:eastAsia="DejaVu Sans"/>
                <w:b w:val="0"/>
                <w:i w:val="0"/>
                <w:sz w:val="19"/>
              </w:rPr>
              <w:t>12 ամիս</w:t>
            </w:r>
          </w:p>
        </w:tc>
      </w:tr>
    </w:tbl>
    <w:p/>
    <w:p>
      <w:pPr>
        <w:pStyle w:val="Heading1"/>
      </w:pPr>
      <w:r>
        <w:t>1. ԿՈՂՄԵՐԸ ԵՎ ԾԱՌԱՅՈՒԹՅԱՆ ՍՏԱՑՈՂԸ</w:t>
      </w:r>
    </w:p>
    <w:p>
      <w:r>
        <w:rPr>
          <w:rFonts w:ascii="DejaVu Sans" w:hAnsi="DejaVu Sans" w:eastAsia="DejaVu Sans"/>
          <w:b w:val="0"/>
          <w:i w:val="0"/>
          <w:sz w:val="21"/>
        </w:rPr>
        <w:t>Եթե իրավաբանական անձը դեռևս գրանցված չէ, որպես Պատվիրատու հանդես է գալիս հիմնադիրը կամ լիազորված ներկայացուցիչը, իսկ ստեղծվող ընկերությունը նշվում է որպես Ծառայության ստացող։ Գրանցումից հետո տվյալները լրացվում են հավելվածում։</w:t>
      </w:r>
    </w:p>
    <w:p>
      <w:pPr>
        <w:pStyle w:val="Heading1"/>
      </w:pPr>
      <w:r>
        <w:t>2. ՊԱՅՄԱՆԱԳՐԻ ԱՌԱՐԿԱՆ</w:t>
      </w:r>
    </w:p>
    <w:p>
      <w:r>
        <w:rPr>
          <w:rFonts w:ascii="DejaVu Sans" w:hAnsi="DejaVu Sans" w:eastAsia="DejaVu Sans"/>
          <w:b w:val="0"/>
          <w:i w:val="0"/>
          <w:sz w:val="21"/>
        </w:rPr>
        <w:t>Կատարողը Ծառայության ստացողին տրամադրում է Հայաստանի Հանրապետություն, 0069, ք. Երևան, Քանաքեռ-Զեյթուն վարչական շրջան, Ռուբինյանց փողոց 28, «Ալմաստ» գործարանի վարչական շենք, 4-րդ հարկ, թիվ 3 տարածք հասցեն պետական գրանցման համար որպես գտնվելու վայր օգտագործելու իրավունք։</w:t>
      </w:r>
    </w:p>
    <w:p>
      <w:r>
        <w:rPr>
          <w:rFonts w:ascii="DejaVu Sans" w:hAnsi="DejaVu Sans" w:eastAsia="DejaVu Sans"/>
          <w:b w:val="0"/>
          <w:i w:val="0"/>
          <w:sz w:val="21"/>
        </w:rPr>
        <w:t>Սույն պայմանագիրը ծառայությունների մատուցման պայմանագիր է և չի հանդիսանում վարձակալություն, ենթավարձակալություն, անհատույց օգտագործում կամ տարածքի տիրապետման փոխանցում։</w:t>
      </w:r>
    </w:p>
    <w:p>
      <w:r>
        <w:rPr>
          <w:rFonts w:ascii="DejaVu Sans" w:hAnsi="DejaVu Sans" w:eastAsia="DejaVu Sans"/>
          <w:b w:val="0"/>
          <w:i w:val="0"/>
          <w:sz w:val="21"/>
        </w:rPr>
        <w:t>Թղթակցության ընդունումը, ծանուցումը, պահպանումը, բացումը, սկանավորումը և վերաուղարկումը չեն ներառվում և կարգավորվում են առանձին փոստային սպասարկման պայմանագրով։</w:t>
      </w:r>
    </w:p>
    <w:p>
      <w:pPr>
        <w:pStyle w:val="Heading1"/>
      </w:pPr>
      <w:r>
        <w:t>3. ԾԱՌԱՅՈՒԹՅԱՆ ԿԱԶՄԸ</w:t>
      </w:r>
    </w:p>
    <w:p>
      <w:pPr>
        <w:ind w:left="397" w:hanging="198"/>
      </w:pPr>
      <w:r>
        <w:rPr>
          <w:rFonts w:ascii="DejaVu Sans" w:hAnsi="DejaVu Sans" w:eastAsia="DejaVu Sans"/>
          <w:b w:val="0"/>
          <w:i w:val="0"/>
          <w:sz w:val="21"/>
        </w:rPr>
        <w:t>• հասցեի տրամադրում 12 ամսով;</w:t>
      </w:r>
    </w:p>
    <w:p>
      <w:pPr>
        <w:ind w:left="397" w:hanging="198"/>
      </w:pPr>
      <w:r>
        <w:rPr>
          <w:rFonts w:ascii="DejaVu Sans" w:hAnsi="DejaVu Sans" w:eastAsia="DejaVu Sans"/>
          <w:b w:val="0"/>
          <w:i w:val="0"/>
          <w:sz w:val="21"/>
        </w:rPr>
        <w:t>• գրանցման համար անհրաժեշտ ստանդարտ փաստաթղթեր;</w:t>
      </w:r>
    </w:p>
    <w:p>
      <w:pPr>
        <w:ind w:left="397" w:hanging="198"/>
      </w:pPr>
      <w:r>
        <w:rPr>
          <w:rFonts w:ascii="DejaVu Sans" w:hAnsi="DejaVu Sans" w:eastAsia="DejaVu Sans"/>
          <w:b w:val="0"/>
          <w:i w:val="0"/>
          <w:sz w:val="21"/>
        </w:rPr>
        <w:t>• պետական ռեգիստրի համար անհրաժեշտ տեղեկություններ;</w:t>
      </w:r>
    </w:p>
    <w:p>
      <w:pPr>
        <w:ind w:left="397" w:hanging="198"/>
      </w:pPr>
      <w:r>
        <w:rPr>
          <w:rFonts w:ascii="DejaVu Sans" w:hAnsi="DejaVu Sans" w:eastAsia="DejaVu Sans"/>
          <w:b w:val="0"/>
          <w:i w:val="0"/>
          <w:sz w:val="21"/>
        </w:rPr>
        <w:t>• վճարված ժամկետի ընթացքում հասցեի վավերության ստանդարտ հաստատում։</w:t>
      </w:r>
    </w:p>
    <w:p>
      <w:pPr>
        <w:pStyle w:val="Heading1"/>
      </w:pPr>
      <w:r>
        <w:t>4. ԳԻՆԸ ԵՎ ՎՃԱՐՈՒՄԸ</w:t>
      </w:r>
    </w:p>
    <w:p>
      <w:r>
        <w:rPr>
          <w:rFonts w:ascii="DejaVu Sans" w:hAnsi="DejaVu Sans" w:eastAsia="DejaVu Sans"/>
          <w:b w:val="0"/>
          <w:i w:val="0"/>
          <w:sz w:val="21"/>
        </w:rPr>
        <w:t>Արժեքը կազմում է 120 000 ՀՀ դրամ՝ 12 ամսվա համար և սովորաբար վճարվում է միանվագ մինչև ակտիվացումը։</w:t>
      </w:r>
    </w:p>
    <w:p>
      <w:r>
        <w:rPr>
          <w:rFonts w:ascii="DejaVu Sans" w:hAnsi="DejaVu Sans" w:eastAsia="DejaVu Sans"/>
          <w:b w:val="0"/>
          <w:i w:val="0"/>
          <w:sz w:val="21"/>
        </w:rPr>
        <w:t>Ամսական 10 000 դրամ վճարումը հնարավոր է միայն ABEXPRO-ի միջոցով գրանցման և առնվազն 12 ամսով հաշվապահական պայմանագրի դեպքում։ Դա տարեկան արժեքի ապառիկ է, ոչ թե ամսական վարձակալություն։</w:t>
      </w:r>
    </w:p>
    <w:p>
      <w:r>
        <w:rPr>
          <w:rFonts w:ascii="DejaVu Sans" w:hAnsi="DejaVu Sans" w:eastAsia="DejaVu Sans"/>
          <w:b w:val="0"/>
          <w:i w:val="0"/>
          <w:sz w:val="21"/>
        </w:rPr>
        <w:t>Պետական տուրքերը, թարգմանությունները, լիազորագրերը, ապոստիլը, բանկային վճարները և երրորդ անձանց ծախսերը վճարվում են առանձին։</w:t>
      </w:r>
    </w:p>
    <w:p>
      <w:pPr>
        <w:pStyle w:val="Heading1"/>
      </w:pPr>
      <w:r>
        <w:t>5. ԿԱՏԱՐՈՂԻ ՊԱՐՏԱԿԱՆՈՒԹՅՈՒՆՆԵՐԸ</w:t>
      </w:r>
    </w:p>
    <w:p>
      <w:pPr>
        <w:ind w:left="397" w:hanging="198"/>
      </w:pPr>
      <w:r>
        <w:rPr>
          <w:rFonts w:ascii="DejaVu Sans" w:hAnsi="DejaVu Sans" w:eastAsia="DejaVu Sans"/>
          <w:b w:val="0"/>
          <w:i w:val="0"/>
          <w:sz w:val="21"/>
        </w:rPr>
        <w:t>• ապահովել հասցեի օրինականությունն ու հասանելիությունը;</w:t>
      </w:r>
    </w:p>
    <w:p>
      <w:pPr>
        <w:ind w:left="397" w:hanging="198"/>
      </w:pPr>
      <w:r>
        <w:rPr>
          <w:rFonts w:ascii="DejaVu Sans" w:hAnsi="DejaVu Sans" w:eastAsia="DejaVu Sans"/>
          <w:b w:val="0"/>
          <w:i w:val="0"/>
          <w:sz w:val="21"/>
        </w:rPr>
        <w:t>• տրամադրել հասցեն առաջարկելու իրավունքը հաստատող փաստաթղթեր;</w:t>
      </w:r>
    </w:p>
    <w:p>
      <w:pPr>
        <w:ind w:left="397" w:hanging="198"/>
      </w:pPr>
      <w:r>
        <w:rPr>
          <w:rFonts w:ascii="DejaVu Sans" w:hAnsi="DejaVu Sans" w:eastAsia="DejaVu Sans"/>
          <w:b w:val="0"/>
          <w:i w:val="0"/>
          <w:sz w:val="21"/>
        </w:rPr>
        <w:t>• հաճախորդի տվյալներն օգտագործել միայն պայմանագրային նպատակներով;</w:t>
      </w:r>
    </w:p>
    <w:p>
      <w:pPr>
        <w:ind w:left="397" w:hanging="198"/>
      </w:pPr>
      <w:r>
        <w:rPr>
          <w:rFonts w:ascii="DejaVu Sans" w:hAnsi="DejaVu Sans" w:eastAsia="DejaVu Sans"/>
          <w:b w:val="0"/>
          <w:i w:val="0"/>
          <w:sz w:val="21"/>
        </w:rPr>
        <w:t>• նախապես տեղեկացնել հասցեի հետագա տրամադրման անհնարինության մասին։</w:t>
      </w:r>
    </w:p>
    <w:p>
      <w:pPr>
        <w:pStyle w:val="Heading1"/>
      </w:pPr>
      <w:r>
        <w:t>6. ՊԱՏՎԻՐԱՏՈՒԻ ՊԱՐՏԱԿԱՆՈՒԹՅՈՒՆՆԵՐԸ</w:t>
      </w:r>
    </w:p>
    <w:p>
      <w:pPr>
        <w:ind w:left="397" w:hanging="198"/>
      </w:pPr>
      <w:r>
        <w:rPr>
          <w:rFonts w:ascii="DejaVu Sans" w:hAnsi="DejaVu Sans" w:eastAsia="DejaVu Sans"/>
          <w:b w:val="0"/>
          <w:i w:val="0"/>
          <w:sz w:val="21"/>
        </w:rPr>
        <w:t>• տրամադրել հավաստի տեղեկություններ ընկերության, ղեկավարի, հիմնադիրների և իրական շահառուների մասին;</w:t>
      </w:r>
    </w:p>
    <w:p>
      <w:pPr>
        <w:ind w:left="397" w:hanging="198"/>
      </w:pPr>
      <w:r>
        <w:rPr>
          <w:rFonts w:ascii="DejaVu Sans" w:hAnsi="DejaVu Sans" w:eastAsia="DejaVu Sans"/>
          <w:b w:val="0"/>
          <w:i w:val="0"/>
          <w:sz w:val="21"/>
        </w:rPr>
        <w:t>• հասցեն օգտագործել միայն Ծառայության ստացողի և օրինական նպատակների համար;</w:t>
      </w:r>
    </w:p>
    <w:p>
      <w:pPr>
        <w:ind w:left="397" w:hanging="198"/>
      </w:pPr>
      <w:r>
        <w:rPr>
          <w:rFonts w:ascii="DejaVu Sans" w:hAnsi="DejaVu Sans" w:eastAsia="DejaVu Sans"/>
          <w:b w:val="0"/>
          <w:i w:val="0"/>
          <w:sz w:val="21"/>
        </w:rPr>
        <w:t>• առանց գրավոր համաձայնության չտեղակայել անձնակազմ, ապրանք, ցուցանակ կամ այցելուներ;</w:t>
      </w:r>
    </w:p>
    <w:p>
      <w:pPr>
        <w:ind w:left="397" w:hanging="198"/>
      </w:pPr>
      <w:r>
        <w:rPr>
          <w:rFonts w:ascii="DejaVu Sans" w:hAnsi="DejaVu Sans" w:eastAsia="DejaVu Sans"/>
          <w:b w:val="0"/>
          <w:i w:val="0"/>
          <w:sz w:val="21"/>
        </w:rPr>
        <w:t>• ժամանակին հայտնել փոփոխությունների մասին;</w:t>
      </w:r>
    </w:p>
    <w:p>
      <w:pPr>
        <w:ind w:left="397" w:hanging="198"/>
      </w:pPr>
      <w:r>
        <w:rPr>
          <w:rFonts w:ascii="DejaVu Sans" w:hAnsi="DejaVu Sans" w:eastAsia="DejaVu Sans"/>
          <w:b w:val="0"/>
          <w:i w:val="0"/>
          <w:sz w:val="21"/>
        </w:rPr>
        <w:t>• պայմանագրի դադարեցումից հետո գրանցել նոր հասցե։</w:t>
      </w:r>
    </w:p>
    <w:p>
      <w:pPr>
        <w:pStyle w:val="Heading1"/>
      </w:pPr>
      <w:r>
        <w:t>7. ՀԱՃԱԽՈՐԴԻ ՍՏՈՒԳՈՒՄԸ</w:t>
      </w:r>
    </w:p>
    <w:p>
      <w:r>
        <w:rPr>
          <w:rFonts w:ascii="DejaVu Sans" w:hAnsi="DejaVu Sans" w:eastAsia="DejaVu Sans"/>
          <w:b w:val="0"/>
          <w:i w:val="0"/>
          <w:sz w:val="21"/>
        </w:rPr>
        <w:t>Կատարողը կարող է պահանջել փաստաթղթեր և բացատրություններ։ Կեղծ տվյալների, անօրինական գործունեության կամ վնասի հիմնավորված ռիսկի դեպքում ծառայությունը կարող է մերժվել կամ դադարեցվել։</w:t>
      </w:r>
    </w:p>
    <w:p>
      <w:pPr>
        <w:pStyle w:val="Heading1"/>
      </w:pPr>
      <w:r>
        <w:t>8. ԺԱՄԿԵՏ ԵՎ ԴԱԴԱՐԵՑՈՒՄ</w:t>
      </w:r>
    </w:p>
    <w:p>
      <w:r>
        <w:rPr>
          <w:rFonts w:ascii="DejaVu Sans" w:hAnsi="DejaVu Sans" w:eastAsia="DejaVu Sans"/>
          <w:b w:val="0"/>
          <w:i w:val="0"/>
          <w:sz w:val="21"/>
        </w:rPr>
        <w:t>Ժամկետը 12 ամիս է ակտիվացման ակտից։ Ավտոմատ երկարաձգում չի կիրառվում։</w:t>
      </w:r>
    </w:p>
    <w:p>
      <w:r>
        <w:rPr>
          <w:rFonts w:ascii="DejaVu Sans" w:hAnsi="DejaVu Sans" w:eastAsia="DejaVu Sans"/>
          <w:b w:val="0"/>
          <w:i w:val="0"/>
          <w:sz w:val="21"/>
        </w:rPr>
        <w:t>Պատվիրատուն կարող է հրաժարվել՝ առնվազն 30 օրացուցային օր առաջ գրավոր ծանուցելով և վճարելով փաստացի ծառայություններն ու ծախսերը։ Դադարեցումից հետո 10 աշխատանքային օրվա ընթացքում պետք է ներկայացվի նոր հասցեի գրանցման դիմում։</w:t>
      </w:r>
    </w:p>
    <w:p>
      <w:r>
        <w:rPr>
          <w:rFonts w:ascii="DejaVu Sans" w:hAnsi="DejaVu Sans" w:eastAsia="DejaVu Sans"/>
          <w:b w:val="0"/>
          <w:i w:val="0"/>
          <w:sz w:val="21"/>
        </w:rPr>
        <w:t>Եթե հասցեն անհասանելի է դառնում Կատարողի կողմից առաջացած պատճառով, կողմերը համաձայնեցնում են փոխարինող հասցե կամ չօգտագործված մասի համաչափ վերադարձ։</w:t>
      </w:r>
    </w:p>
    <w:p>
      <w:pPr>
        <w:pStyle w:val="Heading1"/>
      </w:pPr>
      <w:r>
        <w:t>9. ՊԱՏԱՍԽԱՆԱՏՎՈՒԹՅՈՒՆ, ԳԱՂՏՆԻՈՒԹՅՈՒՆ ԵՎ ՎԵՃԵՐ</w:t>
      </w:r>
    </w:p>
    <w:p>
      <w:r>
        <w:rPr>
          <w:rFonts w:ascii="DejaVu Sans" w:hAnsi="DejaVu Sans" w:eastAsia="DejaVu Sans"/>
          <w:b w:val="0"/>
          <w:i w:val="0"/>
          <w:sz w:val="21"/>
        </w:rPr>
        <w:t>Կողմերը պատասխանատվություն են կրում Հայաստանի Հանրապետության օրենսդրությամբ։ Կատարողը պատասխանատվություն չի կրում պետական մարմինների, բանկերի կամ այլ երրորդ անձանց որոշումների համար։</w:t>
      </w:r>
    </w:p>
    <w:p>
      <w:r>
        <w:rPr>
          <w:rFonts w:ascii="DejaVu Sans" w:hAnsi="DejaVu Sans" w:eastAsia="DejaVu Sans"/>
          <w:b w:val="0"/>
          <w:i w:val="0"/>
          <w:sz w:val="21"/>
        </w:rPr>
        <w:t>Անձնական և գաղտնի տվյալներն օգտագործվում են միայն պայմանագրի կատարման, հաճախորդի ստուգման, իրավունքների պաշտպանության և օրենքի պահանջների կատարման համար։</w:t>
      </w:r>
    </w:p>
    <w:p>
      <w:r>
        <w:rPr>
          <w:rFonts w:ascii="DejaVu Sans" w:hAnsi="DejaVu Sans" w:eastAsia="DejaVu Sans"/>
          <w:b w:val="0"/>
          <w:i w:val="0"/>
          <w:sz w:val="21"/>
        </w:rPr>
        <w:t>Մինչ դատարան դիմելը կիրառվում է գրավոր պահանջի ընթացակարգ՝ 15 օրացուցային օր պատասխանման ժամկետով։</w:t>
      </w:r>
    </w:p>
    <w:p>
      <w:pPr>
        <w:pStyle w:val="Heading1"/>
      </w:pPr>
      <w:r>
        <w:t>10. ԼԵԶՈՒՆԵՐ</w:t>
      </w:r>
    </w:p>
    <w:p>
      <w:r>
        <w:rPr>
          <w:rFonts w:ascii="DejaVu Sans" w:hAnsi="DejaVu Sans" w:eastAsia="DejaVu Sans"/>
          <w:b w:val="0"/>
          <w:i w:val="0"/>
          <w:sz w:val="21"/>
        </w:rPr>
        <w:t>Պայմանագիրը կարող է կազմվել հայերեն, ռուսերեն և անգլերեն։ Տարբերությունների դեպքում գերակա է հայերեն տեքստը։</w:t>
      </w:r>
    </w:p>
    <w:tbl>
      <w:tblPr>
        <w:tblW w:type="auto" w:w="0"/>
        <w:jc w:val="center"/>
        <w:tblLook w:firstColumn="1" w:firstRow="1" w:lastColumn="0" w:lastRow="0" w:noHBand="0" w:noVBand="1" w:val="04A0"/>
      </w:tblPr>
      <w:tblGrid>
        <w:gridCol w:w="4986"/>
        <w:gridCol w:w="4986"/>
      </w:tblGrid>
      <w:tr>
        <w:trPr>
          <w:tblHeader w:val="true"/>
        </w:trPr>
        <w:tc>
          <w:tcPr>
            <w:tcW w:type="dxa" w:w="4986"/>
            <w:shd w:fill="1F4E79"/>
            <w:tcMar>
              <w:top w:w="120" w:type="dxa"/>
              <w:start w:w="140" w:type="dxa"/>
              <w:bottom w:w="120" w:type="dxa"/>
              <w:end w:w="140" w:type="dxa"/>
            </w:tcMar>
          </w:tcPr>
          <w:p>
            <w:pPr>
              <w:jc w:val="center"/>
            </w:pPr>
            <w:r>
              <w:rPr>
                <w:rFonts w:ascii="DejaVu Sans" w:hAnsi="DejaVu Sans" w:eastAsia="DejaVu Sans"/>
                <w:b/>
                <w:i w:val="0"/>
                <w:color w:val="FFFFFF"/>
                <w:sz w:val="20"/>
              </w:rPr>
              <w:t>ԿԱՏԱՐՈՂ</w:t>
            </w:r>
          </w:p>
        </w:tc>
        <w:tc>
          <w:tcPr>
            <w:tcW w:type="dxa" w:w="4986"/>
            <w:shd w:fill="1F4E79"/>
            <w:tcMar>
              <w:top w:w="120" w:type="dxa"/>
              <w:start w:w="140" w:type="dxa"/>
              <w:bottom w:w="120" w:type="dxa"/>
              <w:end w:w="140" w:type="dxa"/>
            </w:tcMar>
          </w:tcPr>
          <w:p>
            <w:pPr>
              <w:jc w:val="center"/>
            </w:pPr>
            <w:r>
              <w:rPr>
                <w:rFonts w:ascii="DejaVu Sans" w:hAnsi="DejaVu Sans" w:eastAsia="DejaVu Sans"/>
                <w:b/>
                <w:i w:val="0"/>
                <w:color w:val="FFFFFF"/>
                <w:sz w:val="20"/>
              </w:rPr>
              <w:t>ՊԱՏՎԻՐԱՏՈՒ</w:t>
            </w:r>
          </w:p>
        </w:tc>
      </w:tr>
      <w:tr>
        <w:tc>
          <w:tcPr>
            <w:tcW w:type="dxa" w:w="4986"/>
            <w:tcMar>
              <w:top w:w="160" w:type="dxa"/>
              <w:start w:w="160" w:type="dxa"/>
              <w:bottom w:w="160" w:type="dxa"/>
              <w:end w:w="160" w:type="dxa"/>
            </w:tcMar>
            <w:vAlign w:val="top"/>
          </w:tcPr>
          <w:p>
            <w:r>
              <w:rPr>
                <w:rFonts w:ascii="DejaVu Sans" w:hAnsi="DejaVu Sans" w:eastAsia="DejaVu Sans"/>
                <w:b w:val="0"/>
                <w:i w:val="0"/>
                <w:sz w:val="18"/>
              </w:rPr>
              <w:t>AB Expert Project LLC</w:t>
            </w:r>
            <w:r>
              <w:br/>
            </w:r>
            <w:r>
              <w:rPr>
                <w:rFonts w:ascii="DejaVu Sans" w:hAnsi="DejaVu Sans" w:eastAsia="DejaVu Sans"/>
                <w:b w:val="0"/>
                <w:i w:val="0"/>
                <w:sz w:val="18"/>
              </w:rPr>
              <w:t>Հայերեն անվանումը՝ [ԼՐԱՑՆԵԼ]</w:t>
            </w:r>
            <w:r>
              <w:br/>
            </w:r>
            <w:r>
              <w:rPr>
                <w:rFonts w:ascii="DejaVu Sans" w:hAnsi="DejaVu Sans" w:eastAsia="DejaVu Sans"/>
                <w:b w:val="0"/>
                <w:i w:val="0"/>
                <w:sz w:val="18"/>
              </w:rPr>
              <w:t>Գրանցման համարը՝ [ԼՐԱՑՆԵԼ]</w:t>
            </w:r>
            <w:r>
              <w:br/>
            </w:r>
            <w:r>
              <w:rPr>
                <w:rFonts w:ascii="DejaVu Sans" w:hAnsi="DejaVu Sans" w:eastAsia="DejaVu Sans"/>
                <w:b w:val="0"/>
                <w:i w:val="0"/>
                <w:sz w:val="18"/>
              </w:rPr>
              <w:t>ՀՎՀՀ՝ [ԼՐԱՑՆԵԼ]</w:t>
            </w:r>
            <w:r>
              <w:br/>
            </w:r>
            <w:r>
              <w:rPr>
                <w:rFonts w:ascii="DejaVu Sans" w:hAnsi="DejaVu Sans" w:eastAsia="DejaVu Sans"/>
                <w:b w:val="0"/>
                <w:i w:val="0"/>
                <w:sz w:val="18"/>
              </w:rPr>
              <w:t>Հասցե՝ Հայաստանի Հանրապետություն, 0069, ք. Երևան, Քանաքեռ-Զեյթուն վարչական շրջան, Ռուբինյանց փողոց 28, «Ալմաստ» գործարանի վարչական շենք, 4-րդ հարկ, թիվ 3 տարածք</w:t>
            </w:r>
            <w:r>
              <w:br/>
            </w:r>
            <w:r>
              <w:rPr>
                <w:rFonts w:ascii="DejaVu Sans" w:hAnsi="DejaVu Sans" w:eastAsia="DejaVu Sans"/>
                <w:b w:val="0"/>
                <w:i w:val="0"/>
                <w:sz w:val="18"/>
              </w:rPr>
              <w:t>Հեռ.՝ +374 55 908 689</w:t>
            </w:r>
            <w:r>
              <w:br/>
            </w:r>
            <w:r>
              <w:rPr>
                <w:rFonts w:ascii="DejaVu Sans" w:hAnsi="DejaVu Sans" w:eastAsia="DejaVu Sans"/>
                <w:b w:val="0"/>
                <w:i w:val="0"/>
                <w:sz w:val="18"/>
              </w:rPr>
              <w:t>Էլ. փոստ՝ info@abexpro.am</w:t>
            </w:r>
            <w:r>
              <w:br/>
            </w:r>
            <w:r>
              <w:rPr>
                <w:rFonts w:ascii="DejaVu Sans" w:hAnsi="DejaVu Sans" w:eastAsia="DejaVu Sans"/>
                <w:b w:val="0"/>
                <w:i w:val="0"/>
                <w:sz w:val="18"/>
              </w:rPr>
              <w:t>Կայք՝ abexpro.am</w:t>
            </w:r>
            <w:r>
              <w:br/>
            </w:r>
            <w:r>
              <w:rPr>
                <w:rFonts w:ascii="DejaVu Sans" w:hAnsi="DejaVu Sans" w:eastAsia="DejaVu Sans"/>
                <w:b w:val="0"/>
                <w:i w:val="0"/>
                <w:sz w:val="18"/>
              </w:rPr>
              <w:t>Բանկ և հաշիվ՝ [ԼՐԱՑՆԵԼ]</w:t>
            </w:r>
            <w:r>
              <w:br/>
            </w:r>
            <w:r>
              <w:rPr>
                <w:rFonts w:ascii="DejaVu Sans" w:hAnsi="DejaVu Sans" w:eastAsia="DejaVu Sans"/>
                <w:b w:val="0"/>
                <w:i w:val="0"/>
                <w:sz w:val="18"/>
              </w:rPr>
              <w:t>Տնօրեն՝ [ԱՆՈՒՆ ԱԶԳԱՆՈՒՆ]</w:t>
            </w:r>
            <w:r>
              <w:br/>
            </w:r>
            <w:r>
              <w:rPr>
                <w:rFonts w:ascii="DejaVu Sans" w:hAnsi="DejaVu Sans" w:eastAsia="DejaVu Sans"/>
                <w:b w:val="0"/>
                <w:i w:val="0"/>
                <w:sz w:val="18"/>
              </w:rPr>
            </w:r>
            <w:r>
              <w:br/>
            </w:r>
            <w:r>
              <w:rPr>
                <w:rFonts w:ascii="DejaVu Sans" w:hAnsi="DejaVu Sans" w:eastAsia="DejaVu Sans"/>
                <w:b w:val="0"/>
                <w:i w:val="0"/>
                <w:sz w:val="18"/>
              </w:rPr>
              <w:t>Ստորագրություն՝ __________________</w:t>
            </w:r>
          </w:p>
        </w:tc>
        <w:tc>
          <w:tcPr>
            <w:tcW w:type="dxa" w:w="4986"/>
            <w:tcMar>
              <w:top w:w="160" w:type="dxa"/>
              <w:start w:w="160" w:type="dxa"/>
              <w:bottom w:w="160" w:type="dxa"/>
              <w:end w:w="160" w:type="dxa"/>
            </w:tcMar>
            <w:vAlign w:val="top"/>
          </w:tcPr>
          <w:p>
            <w:r>
              <w:rPr>
                <w:rFonts w:ascii="DejaVu Sans" w:hAnsi="DejaVu Sans" w:eastAsia="DejaVu Sans"/>
                <w:b w:val="0"/>
                <w:i w:val="0"/>
                <w:sz w:val="18"/>
              </w:rPr>
              <w:t>[ԱՆՎԱՆՈՒՄ / ԱՆՈՒՆ ԱԶԳԱՆՈՒՆ]</w:t>
            </w:r>
            <w:r>
              <w:br/>
            </w:r>
            <w:r>
              <w:rPr>
                <w:rFonts w:ascii="DejaVu Sans" w:hAnsi="DejaVu Sans" w:eastAsia="DejaVu Sans"/>
                <w:b w:val="0"/>
                <w:i w:val="0"/>
                <w:sz w:val="18"/>
              </w:rPr>
              <w:t>Գրանցման կամ անձնագրային տվյալներ՝ [ԼՐԱՑՆԵԼ]</w:t>
            </w:r>
            <w:r>
              <w:br/>
            </w:r>
            <w:r>
              <w:rPr>
                <w:rFonts w:ascii="DejaVu Sans" w:hAnsi="DejaVu Sans" w:eastAsia="DejaVu Sans"/>
                <w:b w:val="0"/>
                <w:i w:val="0"/>
                <w:sz w:val="18"/>
              </w:rPr>
              <w:t>ՀՎՀՀ / նույնացուցիչ՝ [ԼՐԱՑՆԵԼ]</w:t>
            </w:r>
            <w:r>
              <w:br/>
            </w:r>
            <w:r>
              <w:rPr>
                <w:rFonts w:ascii="DejaVu Sans" w:hAnsi="DejaVu Sans" w:eastAsia="DejaVu Sans"/>
                <w:b w:val="0"/>
                <w:i w:val="0"/>
                <w:sz w:val="18"/>
              </w:rPr>
              <w:t>Հասցե՝ [ԼՐԱՑՆԵԼ]</w:t>
            </w:r>
            <w:r>
              <w:br/>
            </w:r>
            <w:r>
              <w:rPr>
                <w:rFonts w:ascii="DejaVu Sans" w:hAnsi="DejaVu Sans" w:eastAsia="DejaVu Sans"/>
                <w:b w:val="0"/>
                <w:i w:val="0"/>
                <w:sz w:val="18"/>
              </w:rPr>
              <w:t>Հեռ.՝ [ԼՐԱՑՆԵԼ]</w:t>
            </w:r>
            <w:r>
              <w:br/>
            </w:r>
            <w:r>
              <w:rPr>
                <w:rFonts w:ascii="DejaVu Sans" w:hAnsi="DejaVu Sans" w:eastAsia="DejaVu Sans"/>
                <w:b w:val="0"/>
                <w:i w:val="0"/>
                <w:sz w:val="18"/>
              </w:rPr>
              <w:t>Էլ. փոստ՝ [ԼՐԱՑՆԵԼ]</w:t>
            </w:r>
            <w:r>
              <w:br/>
            </w:r>
            <w:r>
              <w:rPr>
                <w:rFonts w:ascii="DejaVu Sans" w:hAnsi="DejaVu Sans" w:eastAsia="DejaVu Sans"/>
                <w:b w:val="0"/>
                <w:i w:val="0"/>
                <w:sz w:val="18"/>
              </w:rPr>
              <w:t>Բանկ և հաշիվ՝ [ԼՐԱՑՆԵԼ]</w:t>
            </w:r>
            <w:r>
              <w:br/>
            </w:r>
            <w:r>
              <w:rPr>
                <w:rFonts w:ascii="DejaVu Sans" w:hAnsi="DejaVu Sans" w:eastAsia="DejaVu Sans"/>
                <w:b w:val="0"/>
                <w:i w:val="0"/>
                <w:sz w:val="18"/>
              </w:rPr>
              <w:t>Ներկայացուցիչ՝ [ԱՆՈՒՆ ԱԶԳԱՆՈՒՆ]</w:t>
            </w:r>
            <w:r>
              <w:br/>
            </w:r>
            <w:r>
              <w:rPr>
                <w:rFonts w:ascii="DejaVu Sans" w:hAnsi="DejaVu Sans" w:eastAsia="DejaVu Sans"/>
                <w:b w:val="0"/>
                <w:i w:val="0"/>
                <w:sz w:val="18"/>
              </w:rPr>
            </w:r>
            <w:r>
              <w:br/>
            </w:r>
            <w:r>
              <w:rPr>
                <w:rFonts w:ascii="DejaVu Sans" w:hAnsi="DejaVu Sans" w:eastAsia="DejaVu Sans"/>
                <w:b w:val="0"/>
                <w:i w:val="0"/>
                <w:sz w:val="18"/>
              </w:rPr>
              <w:t>Ստորագրություն՝ __________________</w:t>
            </w:r>
          </w:p>
        </w:tc>
      </w:tr>
    </w:tbl>
    <w:p>
      <w:pPr>
        <w:sectPr>
          <w:headerReference w:type="default" r:id="rId9"/>
          <w:footerReference w:type="default" r:id="rId10"/>
          <w:pgSz w:w="12240" w:h="15840"/>
          <w:pgMar w:top="1134" w:right="1134" w:bottom="1020" w:left="1134" w:header="720" w:footer="720" w:gutter="0"/>
          <w:cols w:space="720"/>
          <w:docGrid w:linePitch="360"/>
        </w:sectPr>
      </w:pPr>
    </w:p>
    <w:p>
      <w:pPr>
        <w:jc w:val="center"/>
      </w:pPr>
      <w:r>
        <w:rPr>
          <w:rFonts w:ascii="DejaVu Sans" w:hAnsi="DejaVu Sans" w:eastAsia="DejaVu Sans"/>
          <w:b/>
          <w:i w:val="0"/>
          <w:color w:val="E77A1B"/>
          <w:sz w:val="20"/>
        </w:rPr>
        <w:t>ОБРАЗЕЦ / SAMPLE / ՆՄՈՒՇ</w:t>
      </w:r>
    </w:p>
    <w:p>
      <w:pPr>
        <w:pStyle w:val="Title"/>
        <w:jc w:val="center"/>
      </w:pPr>
      <w:r>
        <w:rPr>
          <w:rFonts w:ascii="DejaVu Sans" w:hAnsi="DejaVu Sans" w:eastAsia="DejaVu Sans"/>
          <w:b/>
          <w:i w:val="0"/>
          <w:color w:val="1F4E79"/>
          <w:sz w:val="32"/>
        </w:rPr>
        <w:t>ДОГОВОР ОБ ОКАЗАНИИ УСЛУГ</w:t>
        <w:br/>
        <w:t>ПО ПРЕДОСТАВЛЕНИЮ ЮРИДИЧЕСКОГО АДРЕСА</w:t>
      </w:r>
    </w:p>
    <w:p>
      <w:pPr>
        <w:jc w:val="center"/>
      </w:pPr>
      <w:r>
        <w:rPr>
          <w:rFonts w:ascii="DejaVu Sans" w:hAnsi="DejaVu Sans" w:eastAsia="DejaVu Sans"/>
          <w:b w:val="0"/>
          <w:i/>
          <w:color w:val="5B6573"/>
          <w:sz w:val="20"/>
        </w:rPr>
        <w:t>Почтовое обслуживание в предмет настоящего договора не входит</w:t>
      </w:r>
    </w:p>
    <w:tbl>
      <w:tblPr>
        <w:tblW w:type="auto" w:w="0"/>
        <w:jc w:val="center"/>
        <w:tblLook w:firstColumn="1" w:firstRow="1" w:lastColumn="0" w:lastRow="0" w:noHBand="0" w:noVBand="1" w:val="04A0"/>
      </w:tblPr>
      <w:tblGrid>
        <w:gridCol w:w="9972"/>
      </w:tblGrid>
      <w:tr>
        <w:tc>
          <w:tcPr>
            <w:tcW w:type="dxa" w:w="9972"/>
            <w:shd w:fill="FFF3E8"/>
            <w:tcMar>
              <w:top w:w="140" w:type="dxa"/>
              <w:start w:w="180" w:type="dxa"/>
              <w:bottom w:w="140" w:type="dxa"/>
              <w:end w:w="180" w:type="dxa"/>
            </w:tcMar>
          </w:tcPr>
          <w:p>
            <w:r>
              <w:rPr>
                <w:rFonts w:ascii="DejaVu Sans" w:hAnsi="DejaVu Sans" w:eastAsia="DejaVu Sans"/>
                <w:b/>
                <w:i w:val="0"/>
                <w:color w:val="E77A1B"/>
                <w:sz w:val="19"/>
              </w:rPr>
              <w:t>Ознакомительный образец. Не является публичной офертой. Перед подписанием договор заполняется и согласовывается с учётом данных клиента, выбранного тарифа и фактических полномочий сторон.</w:t>
            </w:r>
          </w:p>
        </w:tc>
      </w:tr>
    </w:tbl>
    <w:p>
      <w:pPr>
        <w:spacing w:after="0"/>
      </w:pPr>
    </w:p>
    <w:tbl>
      <w:tblPr>
        <w:tblW w:type="auto" w:w="0"/>
        <w:jc w:val="center"/>
        <w:tblLook w:firstColumn="1" w:firstRow="1" w:lastColumn="0" w:lastRow="0" w:noHBand="0" w:noVBand="1" w:val="04A0"/>
      </w:tblPr>
      <w:tblGrid>
        <w:gridCol w:w="4986"/>
        <w:gridCol w:w="4986"/>
      </w:tblGrid>
      <w:tr>
        <w:tc>
          <w:tcPr>
            <w:tcW w:type="dxa" w:w="4986"/>
            <w:tcMar>
              <w:top w:w="120" w:type="dxa"/>
              <w:start w:w="140" w:type="dxa"/>
              <w:bottom w:w="120" w:type="dxa"/>
              <w:end w:w="140" w:type="dxa"/>
            </w:tcMar>
          </w:tcPr>
          <w:p>
            <w:r>
              <w:rPr>
                <w:rFonts w:ascii="DejaVu Sans" w:hAnsi="DejaVu Sans" w:eastAsia="DejaVu Sans"/>
                <w:b/>
                <w:i w:val="0"/>
                <w:color w:val="1F4E79"/>
                <w:sz w:val="19"/>
              </w:rPr>
              <w:t xml:space="preserve">№ договора: </w:t>
            </w:r>
            <w:r>
              <w:rPr>
                <w:rFonts w:ascii="DejaVu Sans" w:hAnsi="DejaVu Sans" w:eastAsia="DejaVu Sans"/>
                <w:b w:val="0"/>
                <w:i w:val="0"/>
                <w:sz w:val="19"/>
              </w:rPr>
              <w:t>[ЗАПОЛНИТЬ]</w:t>
            </w:r>
          </w:p>
        </w:tc>
        <w:tc>
          <w:tcPr>
            <w:tcW w:type="dxa" w:w="4986"/>
            <w:tcMar>
              <w:top w:w="120" w:type="dxa"/>
              <w:start w:w="140" w:type="dxa"/>
              <w:bottom w:w="120" w:type="dxa"/>
              <w:end w:w="140" w:type="dxa"/>
            </w:tcMar>
          </w:tcPr>
          <w:p>
            <w:r>
              <w:rPr>
                <w:rFonts w:ascii="DejaVu Sans" w:hAnsi="DejaVu Sans" w:eastAsia="DejaVu Sans"/>
                <w:b/>
                <w:i w:val="0"/>
                <w:color w:val="1F4E79"/>
                <w:sz w:val="19"/>
              </w:rPr>
              <w:t xml:space="preserve">Место и дата: </w:t>
            </w:r>
            <w:r>
              <w:rPr>
                <w:rFonts w:ascii="DejaVu Sans" w:hAnsi="DejaVu Sans" w:eastAsia="DejaVu Sans"/>
                <w:b w:val="0"/>
                <w:i w:val="0"/>
                <w:sz w:val="19"/>
              </w:rPr>
              <w:t>г. Ереван, «___» __________ 2026 г.</w:t>
            </w:r>
          </w:p>
        </w:tc>
      </w:tr>
      <w:tr>
        <w:tc>
          <w:tcPr>
            <w:tcW w:type="dxa" w:w="4986"/>
            <w:tcMar>
              <w:top w:w="120" w:type="dxa"/>
              <w:start w:w="140" w:type="dxa"/>
              <w:bottom w:w="120" w:type="dxa"/>
              <w:end w:w="140" w:type="dxa"/>
            </w:tcMar>
          </w:tcPr>
          <w:p>
            <w:r>
              <w:rPr>
                <w:rFonts w:ascii="DejaVu Sans" w:hAnsi="DejaVu Sans" w:eastAsia="DejaVu Sans"/>
                <w:b/>
                <w:i w:val="0"/>
                <w:color w:val="1F4E79"/>
                <w:sz w:val="19"/>
              </w:rPr>
              <w:t xml:space="preserve">Стоимость: </w:t>
            </w:r>
            <w:r>
              <w:rPr>
                <w:rFonts w:ascii="DejaVu Sans" w:hAnsi="DejaVu Sans" w:eastAsia="DejaVu Sans"/>
                <w:b w:val="0"/>
                <w:i w:val="0"/>
                <w:sz w:val="19"/>
              </w:rPr>
              <w:t>120 000 AMD за 12 месяцев</w:t>
            </w:r>
          </w:p>
        </w:tc>
        <w:tc>
          <w:tcPr>
            <w:tcW w:type="dxa" w:w="4986"/>
            <w:tcMar>
              <w:top w:w="120" w:type="dxa"/>
              <w:start w:w="140" w:type="dxa"/>
              <w:bottom w:w="120" w:type="dxa"/>
              <w:end w:w="140" w:type="dxa"/>
            </w:tcMar>
          </w:tcPr>
          <w:p>
            <w:r>
              <w:rPr>
                <w:rFonts w:ascii="DejaVu Sans" w:hAnsi="DejaVu Sans" w:eastAsia="DejaVu Sans"/>
                <w:b/>
                <w:i w:val="0"/>
                <w:color w:val="1F4E79"/>
                <w:sz w:val="19"/>
              </w:rPr>
              <w:t xml:space="preserve">Срок: </w:t>
            </w:r>
            <w:r>
              <w:rPr>
                <w:rFonts w:ascii="DejaVu Sans" w:hAnsi="DejaVu Sans" w:eastAsia="DejaVu Sans"/>
                <w:b w:val="0"/>
                <w:i w:val="0"/>
                <w:sz w:val="19"/>
              </w:rPr>
              <w:t>12 месяцев</w:t>
            </w:r>
          </w:p>
        </w:tc>
      </w:tr>
    </w:tbl>
    <w:p/>
    <w:p>
      <w:pPr>
        <w:pStyle w:val="Heading1"/>
      </w:pPr>
      <w:r>
        <w:t>1. СТОРОНЫ И ПОЛУЧАТЕЛЬ УСЛУГИ</w:t>
      </w:r>
    </w:p>
    <w:p>
      <w:r>
        <w:rPr>
          <w:rFonts w:ascii="DejaVu Sans" w:hAnsi="DejaVu Sans" w:eastAsia="DejaVu Sans"/>
          <w:b w:val="0"/>
          <w:i w:val="0"/>
          <w:sz w:val="21"/>
        </w:rPr>
        <w:t>Исполнитель и Заказчик заключают настоящий договор. Если юридическое лицо ещё не зарегистрировано, Заказчиком выступает учредитель или его представитель, а создаваемая компания указывается как Получатель услуги. После государственной регистрации её реквизиты вносятся в приложение.</w:t>
      </w:r>
    </w:p>
    <w:p>
      <w:pPr>
        <w:pStyle w:val="Heading1"/>
      </w:pPr>
      <w:r>
        <w:t>2. ПРЕДМЕТ ДОГОВОРА</w:t>
      </w:r>
    </w:p>
    <w:p>
      <w:r>
        <w:rPr>
          <w:rFonts w:ascii="DejaVu Sans" w:hAnsi="DejaVu Sans" w:eastAsia="DejaVu Sans"/>
          <w:b w:val="0"/>
          <w:i w:val="0"/>
          <w:sz w:val="21"/>
        </w:rPr>
        <w:t>Исполнитель предоставляет Получателю услуги право использовать адрес: Республика Армения, 0069, г. Ереван, административный район Канакер-Зейтун, ул. Рубинянц, д. 28, административное здание завода «Алмаст», 4-й этаж, помещение № 3 в качестве адреса места нахождения для государственной регистрации.</w:t>
      </w:r>
    </w:p>
    <w:p>
      <w:r>
        <w:rPr>
          <w:rFonts w:ascii="DejaVu Sans" w:hAnsi="DejaVu Sans" w:eastAsia="DejaVu Sans"/>
          <w:b w:val="0"/>
          <w:i w:val="0"/>
          <w:sz w:val="21"/>
        </w:rPr>
        <w:t>Настоящий договор является договором оказания услуг и не является договором аренды, субаренды, безвозмездного пользования или передачей помещения во владение. Постоянное рабочее место, приём посетителей и фактическое ведение деятельности не предоставляются.</w:t>
      </w:r>
    </w:p>
    <w:p>
      <w:r>
        <w:rPr>
          <w:rFonts w:ascii="DejaVu Sans" w:hAnsi="DejaVu Sans" w:eastAsia="DejaVu Sans"/>
          <w:b w:val="0"/>
          <w:i w:val="0"/>
          <w:sz w:val="21"/>
        </w:rPr>
        <w:t>Приём, уведомление, хранение, вскрытие, сканирование и пересылка корреспонденции не входят в стоимость и регулируются отдельным договором почтового обслуживания.</w:t>
      </w:r>
    </w:p>
    <w:p>
      <w:pPr>
        <w:pStyle w:val="Heading1"/>
      </w:pPr>
      <w:r>
        <w:t>3. СОСТАВ УСЛУГИ</w:t>
      </w:r>
    </w:p>
    <w:p>
      <w:pPr>
        <w:ind w:left="397" w:hanging="198"/>
      </w:pPr>
      <w:r>
        <w:rPr>
          <w:rFonts w:ascii="DejaVu Sans" w:hAnsi="DejaVu Sans" w:eastAsia="DejaVu Sans"/>
          <w:b w:val="0"/>
          <w:i w:val="0"/>
          <w:sz w:val="21"/>
        </w:rPr>
        <w:t>• предоставление адреса сроком на 12 месяцев;</w:t>
      </w:r>
    </w:p>
    <w:p>
      <w:pPr>
        <w:ind w:left="397" w:hanging="198"/>
      </w:pPr>
      <w:r>
        <w:rPr>
          <w:rFonts w:ascii="DejaVu Sans" w:hAnsi="DejaVu Sans" w:eastAsia="DejaVu Sans"/>
          <w:b w:val="0"/>
          <w:i w:val="0"/>
          <w:sz w:val="21"/>
        </w:rPr>
        <w:t>• подготовка стандартных документов, подтверждающих право использовать адрес при регистрации;</w:t>
      </w:r>
    </w:p>
    <w:p>
      <w:pPr>
        <w:ind w:left="397" w:hanging="198"/>
      </w:pPr>
      <w:r>
        <w:rPr>
          <w:rFonts w:ascii="DejaVu Sans" w:hAnsi="DejaVu Sans" w:eastAsia="DejaVu Sans"/>
          <w:b w:val="0"/>
          <w:i w:val="0"/>
          <w:sz w:val="21"/>
        </w:rPr>
        <w:t>• предоставление сведений, необходимых для внесения адреса в государственный реестр;</w:t>
      </w:r>
    </w:p>
    <w:p>
      <w:pPr>
        <w:ind w:left="397" w:hanging="198"/>
      </w:pPr>
      <w:r>
        <w:rPr>
          <w:rFonts w:ascii="DejaVu Sans" w:hAnsi="DejaVu Sans" w:eastAsia="DejaVu Sans"/>
          <w:b w:val="0"/>
          <w:i w:val="0"/>
          <w:sz w:val="21"/>
        </w:rPr>
        <w:t>• стандартное подтверждение действительности адреса в течение оплаченного срока.</w:t>
      </w:r>
    </w:p>
    <w:p>
      <w:pPr>
        <w:pStyle w:val="Heading1"/>
      </w:pPr>
      <w:r>
        <w:t>4. ЦЕНА И ПОРЯДОК ОПЛАТЫ</w:t>
      </w:r>
    </w:p>
    <w:p>
      <w:r>
        <w:rPr>
          <w:rFonts w:ascii="DejaVu Sans" w:hAnsi="DejaVu Sans" w:eastAsia="DejaVu Sans"/>
          <w:b w:val="0"/>
          <w:i w:val="0"/>
          <w:sz w:val="21"/>
        </w:rPr>
        <w:t>Стоимость услуги составляет 120 000 армянских драмов за 12 месяцев. Стандартная оплата производится единовременно до активации услуги.</w:t>
      </w:r>
    </w:p>
    <w:p>
      <w:r>
        <w:rPr>
          <w:rFonts w:ascii="DejaVu Sans" w:hAnsi="DejaVu Sans" w:eastAsia="DejaVu Sans"/>
          <w:b w:val="0"/>
          <w:i w:val="0"/>
          <w:sz w:val="21"/>
        </w:rPr>
        <w:t>Оплата по 10 000 драмов в месяц допускается только при регистрации ИП или ООО через ABEXPRO и заключении договора бухгалтерского обслуживания минимум на 12 месяцев. Эти платежи являются рассрочкой годовой стоимости, а не помесячной арендой адреса.</w:t>
      </w:r>
    </w:p>
    <w:p>
      <w:r>
        <w:rPr>
          <w:rFonts w:ascii="DejaVu Sans" w:hAnsi="DejaVu Sans" w:eastAsia="DejaVu Sans"/>
          <w:b w:val="0"/>
          <w:i w:val="0"/>
          <w:sz w:val="21"/>
        </w:rPr>
        <w:t>Государственные пошлины, нотариальные переводы, доверенности, апостиль, банковские комиссии и иные расходы третьих лиц оплачиваются отдельно.</w:t>
      </w:r>
    </w:p>
    <w:p>
      <w:pPr>
        <w:pStyle w:val="Heading1"/>
      </w:pPr>
      <w:r>
        <w:t>5. ОБЯЗАННОСТИ ИСПОЛНИТЕЛЯ</w:t>
      </w:r>
    </w:p>
    <w:p>
      <w:pPr>
        <w:ind w:left="397" w:hanging="198"/>
      </w:pPr>
      <w:r>
        <w:rPr>
          <w:rFonts w:ascii="DejaVu Sans" w:hAnsi="DejaVu Sans" w:eastAsia="DejaVu Sans"/>
          <w:b w:val="0"/>
          <w:i w:val="0"/>
          <w:sz w:val="21"/>
        </w:rPr>
        <w:t>• поддерживать законность и доступность адреса в течение оплаченного срока;</w:t>
      </w:r>
    </w:p>
    <w:p>
      <w:pPr>
        <w:ind w:left="397" w:hanging="198"/>
      </w:pPr>
      <w:r>
        <w:rPr>
          <w:rFonts w:ascii="DejaVu Sans" w:hAnsi="DejaVu Sans" w:eastAsia="DejaVu Sans"/>
          <w:b w:val="0"/>
          <w:i w:val="0"/>
          <w:sz w:val="21"/>
        </w:rPr>
        <w:t>• предоставить документы, подтверждающие право Исполнителя предоставлять адрес;</w:t>
      </w:r>
    </w:p>
    <w:p>
      <w:pPr>
        <w:ind w:left="397" w:hanging="198"/>
      </w:pPr>
      <w:r>
        <w:rPr>
          <w:rFonts w:ascii="DejaVu Sans" w:hAnsi="DejaVu Sans" w:eastAsia="DejaVu Sans"/>
          <w:b w:val="0"/>
          <w:i w:val="0"/>
          <w:sz w:val="21"/>
        </w:rPr>
        <w:t>• не использовать сведения о клиенте вне целей договора;</w:t>
      </w:r>
    </w:p>
    <w:p>
      <w:pPr>
        <w:ind w:left="397" w:hanging="198"/>
      </w:pPr>
      <w:r>
        <w:rPr>
          <w:rFonts w:ascii="DejaVu Sans" w:hAnsi="DejaVu Sans" w:eastAsia="DejaVu Sans"/>
          <w:b w:val="0"/>
          <w:i w:val="0"/>
          <w:sz w:val="21"/>
        </w:rPr>
        <w:t>• заблаговременно уведомить о невозможности дальнейшего предоставления адреса.</w:t>
      </w:r>
    </w:p>
    <w:p>
      <w:pPr>
        <w:pStyle w:val="Heading1"/>
      </w:pPr>
      <w:r>
        <w:t>6. ОБЯЗАННОСТИ ЗАКАЗЧИКА</w:t>
      </w:r>
    </w:p>
    <w:p>
      <w:pPr>
        <w:ind w:left="397" w:hanging="198"/>
      </w:pPr>
      <w:r>
        <w:rPr>
          <w:rFonts w:ascii="DejaVu Sans" w:hAnsi="DejaVu Sans" w:eastAsia="DejaVu Sans"/>
          <w:b w:val="0"/>
          <w:i w:val="0"/>
          <w:sz w:val="21"/>
        </w:rPr>
        <w:t>• предоставить достоверные документы о компании, руководителе, учредителях и бенефициарных владельцах;</w:t>
      </w:r>
    </w:p>
    <w:p>
      <w:pPr>
        <w:ind w:left="397" w:hanging="198"/>
      </w:pPr>
      <w:r>
        <w:rPr>
          <w:rFonts w:ascii="DejaVu Sans" w:hAnsi="DejaVu Sans" w:eastAsia="DejaVu Sans"/>
          <w:b w:val="0"/>
          <w:i w:val="0"/>
          <w:sz w:val="21"/>
        </w:rPr>
        <w:t>• использовать адрес только для указанного Получателя услуги и только законным способом;</w:t>
      </w:r>
    </w:p>
    <w:p>
      <w:pPr>
        <w:ind w:left="397" w:hanging="198"/>
      </w:pPr>
      <w:r>
        <w:rPr>
          <w:rFonts w:ascii="DejaVu Sans" w:hAnsi="DejaVu Sans" w:eastAsia="DejaVu Sans"/>
          <w:b w:val="0"/>
          <w:i w:val="0"/>
          <w:sz w:val="21"/>
        </w:rPr>
        <w:t>• не размещать по адресу сотрудников, товары, вывески и посетителей без отдельного письменного согласования;</w:t>
      </w:r>
    </w:p>
    <w:p>
      <w:pPr>
        <w:ind w:left="397" w:hanging="198"/>
      </w:pPr>
      <w:r>
        <w:rPr>
          <w:rFonts w:ascii="DejaVu Sans" w:hAnsi="DejaVu Sans" w:eastAsia="DejaVu Sans"/>
          <w:b w:val="0"/>
          <w:i w:val="0"/>
          <w:sz w:val="21"/>
        </w:rPr>
        <w:t>• своевременно сообщать об изменении регистрационных и контактных данных;</w:t>
      </w:r>
    </w:p>
    <w:p>
      <w:pPr>
        <w:ind w:left="397" w:hanging="198"/>
      </w:pPr>
      <w:r>
        <w:rPr>
          <w:rFonts w:ascii="DejaVu Sans" w:hAnsi="DejaVu Sans" w:eastAsia="DejaVu Sans"/>
          <w:b w:val="0"/>
          <w:i w:val="0"/>
          <w:sz w:val="21"/>
        </w:rPr>
        <w:t>• после прекращения договора зарегистрировать новый адрес и подтвердить это Исполнителю.</w:t>
      </w:r>
    </w:p>
    <w:p>
      <w:pPr>
        <w:pStyle w:val="Heading1"/>
      </w:pPr>
      <w:r>
        <w:t>7. ПРОВЕРКА КЛИЕНТА И ОГРАНИЧЕНИЯ</w:t>
      </w:r>
    </w:p>
    <w:p>
      <w:r>
        <w:rPr>
          <w:rFonts w:ascii="DejaVu Sans" w:hAnsi="DejaVu Sans" w:eastAsia="DejaVu Sans"/>
          <w:b w:val="0"/>
          <w:i w:val="0"/>
          <w:sz w:val="21"/>
        </w:rPr>
        <w:t>Исполнитель вправе запросить документы и пояснения о деятельности, руководителях, участниках и бенефициарных владельцах. При недостоверных сведениях, незаконной деятельности или обоснованном риске ущерба Исполнитель вправе отказать в активации либо прекратить обслуживание в порядке договора.</w:t>
      </w:r>
    </w:p>
    <w:p>
      <w:pPr>
        <w:pStyle w:val="Heading1"/>
      </w:pPr>
      <w:r>
        <w:t>8. СРОК, ПРОДЛЕНИЕ И РАСТОРЖЕНИЕ</w:t>
      </w:r>
    </w:p>
    <w:p>
      <w:r>
        <w:rPr>
          <w:rFonts w:ascii="DejaVu Sans" w:hAnsi="DejaVu Sans" w:eastAsia="DejaVu Sans"/>
          <w:b w:val="0"/>
          <w:i w:val="0"/>
          <w:sz w:val="21"/>
        </w:rPr>
        <w:t>Срок услуги — 12 месяцев с даты активационного акта. Автоматического продления нет; продление оформляется письменно и оплачивается по действующему тарифу.</w:t>
      </w:r>
    </w:p>
    <w:p>
      <w:r>
        <w:rPr>
          <w:rFonts w:ascii="DejaVu Sans" w:hAnsi="DejaVu Sans" w:eastAsia="DejaVu Sans"/>
          <w:b w:val="0"/>
          <w:i w:val="0"/>
          <w:sz w:val="21"/>
        </w:rPr>
        <w:t>Заказчик вправе отказаться от договора, письменно уведомив Исполнителя не менее чем за 30 календарных дней и оплатив фактически оказанные услуги и расходы. После прекращения договора Заказчик обязан в течение 10 рабочих дней подать документы на регистрацию нового адреса.</w:t>
      </w:r>
    </w:p>
    <w:p>
      <w:r>
        <w:rPr>
          <w:rFonts w:ascii="DejaVu Sans" w:hAnsi="DejaVu Sans" w:eastAsia="DejaVu Sans"/>
          <w:b w:val="0"/>
          <w:i w:val="0"/>
          <w:sz w:val="21"/>
        </w:rPr>
        <w:t>Если адрес становится недоступен по причинам на стороне Исполнителя, стороны согласовывают замену адреса на оставшийся оплаченный срок либо пропорциональный возврат неиспользованной части оплаты.</w:t>
      </w:r>
    </w:p>
    <w:p>
      <w:pPr>
        <w:pStyle w:val="Heading1"/>
      </w:pPr>
      <w:r>
        <w:t>9. ОТВЕТСТВЕННОСТЬ, КОНФИДЕНЦИАЛЬНОСТЬ И СПОРЫ</w:t>
      </w:r>
    </w:p>
    <w:p>
      <w:r>
        <w:rPr>
          <w:rFonts w:ascii="DejaVu Sans" w:hAnsi="DejaVu Sans" w:eastAsia="DejaVu Sans"/>
          <w:b w:val="0"/>
          <w:i w:val="0"/>
          <w:sz w:val="21"/>
        </w:rPr>
        <w:t>Стороны отвечают за нарушение договора в соответствии с законодательством Республики Армения. Исполнитель не отвечает за решения государственных органов, банков и иных третьих лиц.</w:t>
      </w:r>
    </w:p>
    <w:p>
      <w:r>
        <w:rPr>
          <w:rFonts w:ascii="DejaVu Sans" w:hAnsi="DejaVu Sans" w:eastAsia="DejaVu Sans"/>
          <w:b w:val="0"/>
          <w:i w:val="0"/>
          <w:sz w:val="21"/>
        </w:rPr>
        <w:t>Персональные данные и конфиденциальная информация используются только для исполнения договора, проверки клиента, защиты прав сторон и выполнения требований закона.</w:t>
      </w:r>
    </w:p>
    <w:p>
      <w:r>
        <w:rPr>
          <w:rFonts w:ascii="DejaVu Sans" w:hAnsi="DejaVu Sans" w:eastAsia="DejaVu Sans"/>
          <w:b w:val="0"/>
          <w:i w:val="0"/>
          <w:sz w:val="21"/>
        </w:rPr>
        <w:t>Споры сначала разрешаются претензионно; срок ответа на претензию — 15 календарных дней. При отсутствии соглашения спор рассматривается компетентным судом Республики Армения.</w:t>
      </w:r>
    </w:p>
    <w:p>
      <w:pPr>
        <w:pStyle w:val="Heading1"/>
      </w:pPr>
      <w:r>
        <w:t>10. ЯЗЫКИ И ЗАКЛЮЧИТЕЛЬНЫЕ УСЛОВИЯ</w:t>
      </w:r>
    </w:p>
    <w:p>
      <w:r>
        <w:rPr>
          <w:rFonts w:ascii="DejaVu Sans" w:hAnsi="DejaVu Sans" w:eastAsia="DejaVu Sans"/>
          <w:b w:val="0"/>
          <w:i w:val="0"/>
          <w:sz w:val="21"/>
        </w:rPr>
        <w:t>Договор может быть оформлен на армянском, русском и английском языках. При расхождениях преимущественную силу имеет армянский текст. Приложения и активационный акт являются неотъемлемой частью договора.</w:t>
      </w:r>
    </w:p>
    <w:tbl>
      <w:tblPr>
        <w:tblW w:type="auto" w:w="0"/>
        <w:jc w:val="center"/>
        <w:tblLook w:firstColumn="1" w:firstRow="1" w:lastColumn="0" w:lastRow="0" w:noHBand="0" w:noVBand="1" w:val="04A0"/>
      </w:tblPr>
      <w:tblGrid>
        <w:gridCol w:w="4986"/>
        <w:gridCol w:w="4986"/>
      </w:tblGrid>
      <w:tr>
        <w:trPr>
          <w:tblHeader w:val="true"/>
        </w:trPr>
        <w:tc>
          <w:tcPr>
            <w:tcW w:type="dxa" w:w="4986"/>
            <w:shd w:fill="1F4E79"/>
            <w:tcMar>
              <w:top w:w="120" w:type="dxa"/>
              <w:start w:w="140" w:type="dxa"/>
              <w:bottom w:w="120" w:type="dxa"/>
              <w:end w:w="140" w:type="dxa"/>
            </w:tcMar>
          </w:tcPr>
          <w:p>
            <w:pPr>
              <w:jc w:val="center"/>
            </w:pPr>
            <w:r>
              <w:rPr>
                <w:rFonts w:ascii="DejaVu Sans" w:hAnsi="DejaVu Sans" w:eastAsia="DejaVu Sans"/>
                <w:b/>
                <w:i w:val="0"/>
                <w:color w:val="FFFFFF"/>
                <w:sz w:val="20"/>
              </w:rPr>
              <w:t>ИСПОЛНИТЕЛЬ</w:t>
            </w:r>
          </w:p>
        </w:tc>
        <w:tc>
          <w:tcPr>
            <w:tcW w:type="dxa" w:w="4986"/>
            <w:shd w:fill="1F4E79"/>
            <w:tcMar>
              <w:top w:w="120" w:type="dxa"/>
              <w:start w:w="140" w:type="dxa"/>
              <w:bottom w:w="120" w:type="dxa"/>
              <w:end w:w="140" w:type="dxa"/>
            </w:tcMar>
          </w:tcPr>
          <w:p>
            <w:pPr>
              <w:jc w:val="center"/>
            </w:pPr>
            <w:r>
              <w:rPr>
                <w:rFonts w:ascii="DejaVu Sans" w:hAnsi="DejaVu Sans" w:eastAsia="DejaVu Sans"/>
                <w:b/>
                <w:i w:val="0"/>
                <w:color w:val="FFFFFF"/>
                <w:sz w:val="20"/>
              </w:rPr>
              <w:t>ЗАКАЗЧИК</w:t>
            </w:r>
          </w:p>
        </w:tc>
      </w:tr>
      <w:tr>
        <w:tc>
          <w:tcPr>
            <w:tcW w:type="dxa" w:w="4986"/>
            <w:tcMar>
              <w:top w:w="160" w:type="dxa"/>
              <w:start w:w="160" w:type="dxa"/>
              <w:bottom w:w="160" w:type="dxa"/>
              <w:end w:w="160" w:type="dxa"/>
            </w:tcMar>
            <w:vAlign w:val="top"/>
          </w:tcPr>
          <w:p>
            <w:r>
              <w:rPr>
                <w:rFonts w:ascii="DejaVu Sans" w:hAnsi="DejaVu Sans" w:eastAsia="DejaVu Sans"/>
                <w:b w:val="0"/>
                <w:i w:val="0"/>
                <w:sz w:val="18"/>
              </w:rPr>
              <w:t>AB Expert Project LLC</w:t>
            </w:r>
            <w:r>
              <w:br/>
            </w:r>
            <w:r>
              <w:rPr>
                <w:rFonts w:ascii="DejaVu Sans" w:hAnsi="DejaVu Sans" w:eastAsia="DejaVu Sans"/>
                <w:b w:val="0"/>
                <w:i w:val="0"/>
                <w:sz w:val="18"/>
              </w:rPr>
              <w:t>Армянское наименование: [ЗАПОЛНИТЬ]</w:t>
            </w:r>
            <w:r>
              <w:br/>
            </w:r>
            <w:r>
              <w:rPr>
                <w:rFonts w:ascii="DejaVu Sans" w:hAnsi="DejaVu Sans" w:eastAsia="DejaVu Sans"/>
                <w:b w:val="0"/>
                <w:i w:val="0"/>
                <w:sz w:val="18"/>
              </w:rPr>
              <w:t>Регистрационный номер: [ЗАПОЛНИТЬ]</w:t>
            </w:r>
            <w:r>
              <w:br/>
            </w:r>
            <w:r>
              <w:rPr>
                <w:rFonts w:ascii="DejaVu Sans" w:hAnsi="DejaVu Sans" w:eastAsia="DejaVu Sans"/>
                <w:b w:val="0"/>
                <w:i w:val="0"/>
                <w:sz w:val="18"/>
              </w:rPr>
              <w:t>ИНН: [ЗАПОЛНИТЬ]</w:t>
            </w:r>
            <w:r>
              <w:br/>
            </w:r>
            <w:r>
              <w:rPr>
                <w:rFonts w:ascii="DejaVu Sans" w:hAnsi="DejaVu Sans" w:eastAsia="DejaVu Sans"/>
                <w:b w:val="0"/>
                <w:i w:val="0"/>
                <w:sz w:val="18"/>
              </w:rPr>
              <w:t>Адрес: Республика Армения, 0069, г. Ереван, административный район Канакер-Зейтун, ул. Рубинянц, д. 28, административное здание завода «Алмаст», 4-й этаж, помещение № 3</w:t>
            </w:r>
            <w:r>
              <w:br/>
            </w:r>
            <w:r>
              <w:rPr>
                <w:rFonts w:ascii="DejaVu Sans" w:hAnsi="DejaVu Sans" w:eastAsia="DejaVu Sans"/>
                <w:b w:val="0"/>
                <w:i w:val="0"/>
                <w:sz w:val="18"/>
              </w:rPr>
              <w:t>Тел.: +374 55 908 689</w:t>
            </w:r>
            <w:r>
              <w:br/>
            </w:r>
            <w:r>
              <w:rPr>
                <w:rFonts w:ascii="DejaVu Sans" w:hAnsi="DejaVu Sans" w:eastAsia="DejaVu Sans"/>
                <w:b w:val="0"/>
                <w:i w:val="0"/>
                <w:sz w:val="18"/>
              </w:rPr>
              <w:t>Email: info@abexpro.am</w:t>
            </w:r>
            <w:r>
              <w:br/>
            </w:r>
            <w:r>
              <w:rPr>
                <w:rFonts w:ascii="DejaVu Sans" w:hAnsi="DejaVu Sans" w:eastAsia="DejaVu Sans"/>
                <w:b w:val="0"/>
                <w:i w:val="0"/>
                <w:sz w:val="18"/>
              </w:rPr>
              <w:t>Сайт: abexpro.am</w:t>
            </w:r>
            <w:r>
              <w:br/>
            </w:r>
            <w:r>
              <w:rPr>
                <w:rFonts w:ascii="DejaVu Sans" w:hAnsi="DejaVu Sans" w:eastAsia="DejaVu Sans"/>
                <w:b w:val="0"/>
                <w:i w:val="0"/>
                <w:sz w:val="18"/>
              </w:rPr>
              <w:t>Банк и счёт: [ЗАПОЛНИТЬ]</w:t>
            </w:r>
            <w:r>
              <w:br/>
            </w:r>
            <w:r>
              <w:rPr>
                <w:rFonts w:ascii="DejaVu Sans" w:hAnsi="DejaVu Sans" w:eastAsia="DejaVu Sans"/>
                <w:b w:val="0"/>
                <w:i w:val="0"/>
                <w:sz w:val="18"/>
              </w:rPr>
              <w:t>Директор: [ФИО]</w:t>
            </w:r>
            <w:r>
              <w:br/>
            </w:r>
            <w:r>
              <w:rPr>
                <w:rFonts w:ascii="DejaVu Sans" w:hAnsi="DejaVu Sans" w:eastAsia="DejaVu Sans"/>
                <w:b w:val="0"/>
                <w:i w:val="0"/>
                <w:sz w:val="18"/>
              </w:rPr>
            </w:r>
            <w:r>
              <w:br/>
            </w:r>
            <w:r>
              <w:rPr>
                <w:rFonts w:ascii="DejaVu Sans" w:hAnsi="DejaVu Sans" w:eastAsia="DejaVu Sans"/>
                <w:b w:val="0"/>
                <w:i w:val="0"/>
                <w:sz w:val="18"/>
              </w:rPr>
              <w:t>Подпись: __________________</w:t>
            </w:r>
          </w:p>
        </w:tc>
        <w:tc>
          <w:tcPr>
            <w:tcW w:type="dxa" w:w="4986"/>
            <w:tcMar>
              <w:top w:w="160" w:type="dxa"/>
              <w:start w:w="160" w:type="dxa"/>
              <w:bottom w:w="160" w:type="dxa"/>
              <w:end w:w="160" w:type="dxa"/>
            </w:tcMar>
            <w:vAlign w:val="top"/>
          </w:tcPr>
          <w:p>
            <w:r>
              <w:rPr>
                <w:rFonts w:ascii="DejaVu Sans" w:hAnsi="DejaVu Sans" w:eastAsia="DejaVu Sans"/>
                <w:b w:val="0"/>
                <w:i w:val="0"/>
                <w:sz w:val="18"/>
              </w:rPr>
              <w:t>[НАИМЕНОВАНИЕ / ФИО]</w:t>
            </w:r>
            <w:r>
              <w:br/>
            </w:r>
            <w:r>
              <w:rPr>
                <w:rFonts w:ascii="DejaVu Sans" w:hAnsi="DejaVu Sans" w:eastAsia="DejaVu Sans"/>
                <w:b w:val="0"/>
                <w:i w:val="0"/>
                <w:sz w:val="18"/>
              </w:rPr>
              <w:t>Регистрационные или паспортные данные: [ЗАПОЛНИТЬ]</w:t>
            </w:r>
            <w:r>
              <w:br/>
            </w:r>
            <w:r>
              <w:rPr>
                <w:rFonts w:ascii="DejaVu Sans" w:hAnsi="DejaVu Sans" w:eastAsia="DejaVu Sans"/>
                <w:b w:val="0"/>
                <w:i w:val="0"/>
                <w:sz w:val="18"/>
              </w:rPr>
              <w:t>ИНН / идентификатор: [ЗАПОЛНИТЬ]</w:t>
            </w:r>
            <w:r>
              <w:br/>
            </w:r>
            <w:r>
              <w:rPr>
                <w:rFonts w:ascii="DejaVu Sans" w:hAnsi="DejaVu Sans" w:eastAsia="DejaVu Sans"/>
                <w:b w:val="0"/>
                <w:i w:val="0"/>
                <w:sz w:val="18"/>
              </w:rPr>
              <w:t>Адрес: [ЗАПОЛНИТЬ]</w:t>
            </w:r>
            <w:r>
              <w:br/>
            </w:r>
            <w:r>
              <w:rPr>
                <w:rFonts w:ascii="DejaVu Sans" w:hAnsi="DejaVu Sans" w:eastAsia="DejaVu Sans"/>
                <w:b w:val="0"/>
                <w:i w:val="0"/>
                <w:sz w:val="18"/>
              </w:rPr>
              <w:t>Тел.: [ЗАПОЛНИТЬ]</w:t>
            </w:r>
            <w:r>
              <w:br/>
            </w:r>
            <w:r>
              <w:rPr>
                <w:rFonts w:ascii="DejaVu Sans" w:hAnsi="DejaVu Sans" w:eastAsia="DejaVu Sans"/>
                <w:b w:val="0"/>
                <w:i w:val="0"/>
                <w:sz w:val="18"/>
              </w:rPr>
              <w:t>Email: [ЗАПОЛНИТЬ]</w:t>
            </w:r>
            <w:r>
              <w:br/>
            </w:r>
            <w:r>
              <w:rPr>
                <w:rFonts w:ascii="DejaVu Sans" w:hAnsi="DejaVu Sans" w:eastAsia="DejaVu Sans"/>
                <w:b w:val="0"/>
                <w:i w:val="0"/>
                <w:sz w:val="18"/>
              </w:rPr>
              <w:t>Банк и счёт: [ЗАПОЛНИТЬ]</w:t>
            </w:r>
            <w:r>
              <w:br/>
            </w:r>
            <w:r>
              <w:rPr>
                <w:rFonts w:ascii="DejaVu Sans" w:hAnsi="DejaVu Sans" w:eastAsia="DejaVu Sans"/>
                <w:b w:val="0"/>
                <w:i w:val="0"/>
                <w:sz w:val="18"/>
              </w:rPr>
              <w:t>Представитель: [ФИО]</w:t>
            </w:r>
            <w:r>
              <w:br/>
            </w:r>
            <w:r>
              <w:rPr>
                <w:rFonts w:ascii="DejaVu Sans" w:hAnsi="DejaVu Sans" w:eastAsia="DejaVu Sans"/>
                <w:b w:val="0"/>
                <w:i w:val="0"/>
                <w:sz w:val="18"/>
              </w:rPr>
            </w:r>
            <w:r>
              <w:br/>
            </w:r>
            <w:r>
              <w:rPr>
                <w:rFonts w:ascii="DejaVu Sans" w:hAnsi="DejaVu Sans" w:eastAsia="DejaVu Sans"/>
                <w:b w:val="0"/>
                <w:i w:val="0"/>
                <w:sz w:val="18"/>
              </w:rPr>
              <w:t>Подпись: __________________</w:t>
            </w:r>
          </w:p>
        </w:tc>
      </w:tr>
    </w:tbl>
    <w:p>
      <w:r>
        <w:br w:type="page"/>
      </w:r>
    </w:p>
    <w:p>
      <w:pPr>
        <w:pStyle w:val="Heading1"/>
      </w:pPr>
      <w:r>
        <w:t>ПРИЛОЖЕНИЕ № 1. КАРТОЧКА ПОЛУЧАТЕЛЯ УСЛУГИ</w:t>
      </w:r>
    </w:p>
    <w:tbl>
      <w:tblPr>
        <w:tblW w:type="auto" w:w="0"/>
        <w:jc w:val="center"/>
        <w:tblLook w:firstColumn="1" w:firstRow="1" w:lastColumn="0" w:lastRow="0" w:noHBand="0" w:noVBand="1" w:val="04A0"/>
      </w:tblPr>
      <w:tblGrid>
        <w:gridCol w:w="4986"/>
        <w:gridCol w:w="4986"/>
      </w:tblGrid>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Заказчик</w:t>
            </w:r>
          </w:p>
        </w:tc>
        <w:tc>
          <w:tcPr>
            <w:tcW w:type="dxa" w:w="4986"/>
            <w:tcMar>
              <w:top w:w="120" w:type="dxa"/>
              <w:start w:w="140" w:type="dxa"/>
              <w:bottom w:w="120" w:type="dxa"/>
              <w:end w:w="140" w:type="dxa"/>
            </w:tcMar>
          </w:tcPr>
          <w:p>
            <w:r>
              <w:rPr>
                <w:rFonts w:ascii="DejaVu Sans" w:hAnsi="DejaVu Sans" w:eastAsia="DejaVu Sans"/>
                <w:b w:val="0"/>
                <w:i w:val="0"/>
                <w:sz w:val="19"/>
              </w:rPr>
              <w:t>[ЗАПОЛНИТЬ]</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Получатель услуги</w:t>
            </w:r>
          </w:p>
        </w:tc>
        <w:tc>
          <w:tcPr>
            <w:tcW w:type="dxa" w:w="4986"/>
            <w:tcMar>
              <w:top w:w="120" w:type="dxa"/>
              <w:start w:w="140" w:type="dxa"/>
              <w:bottom w:w="120" w:type="dxa"/>
              <w:end w:w="140" w:type="dxa"/>
            </w:tcMar>
          </w:tcPr>
          <w:p>
            <w:r>
              <w:rPr>
                <w:rFonts w:ascii="DejaVu Sans" w:hAnsi="DejaVu Sans" w:eastAsia="DejaVu Sans"/>
                <w:b w:val="0"/>
                <w:i w:val="0"/>
                <w:sz w:val="19"/>
              </w:rPr>
              <w:t>[ПОЛНОЕ НАИМЕНОВАНИЕ]</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Организационно-правовая форма</w:t>
            </w:r>
          </w:p>
        </w:tc>
        <w:tc>
          <w:tcPr>
            <w:tcW w:type="dxa" w:w="4986"/>
            <w:tcMar>
              <w:top w:w="120" w:type="dxa"/>
              <w:start w:w="140" w:type="dxa"/>
              <w:bottom w:w="120" w:type="dxa"/>
              <w:end w:w="140" w:type="dxa"/>
            </w:tcMar>
          </w:tcPr>
          <w:p>
            <w:r>
              <w:rPr>
                <w:rFonts w:ascii="DejaVu Sans" w:hAnsi="DejaVu Sans" w:eastAsia="DejaVu Sans"/>
                <w:b w:val="0"/>
                <w:i w:val="0"/>
                <w:sz w:val="19"/>
              </w:rPr>
              <w:t>[ЗАПОЛНИТЬ]</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Регистрационный номер</w:t>
            </w:r>
          </w:p>
        </w:tc>
        <w:tc>
          <w:tcPr>
            <w:tcW w:type="dxa" w:w="4986"/>
            <w:tcMar>
              <w:top w:w="120" w:type="dxa"/>
              <w:start w:w="140" w:type="dxa"/>
              <w:bottom w:w="120" w:type="dxa"/>
              <w:end w:w="140" w:type="dxa"/>
            </w:tcMar>
          </w:tcPr>
          <w:p>
            <w:r>
              <w:rPr>
                <w:rFonts w:ascii="DejaVu Sans" w:hAnsi="DejaVu Sans" w:eastAsia="DejaVu Sans"/>
                <w:b w:val="0"/>
                <w:i w:val="0"/>
                <w:sz w:val="19"/>
              </w:rPr>
              <w:t>[ПОСЛЕ РЕГИСТРАЦИИ]</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ИНН</w:t>
            </w:r>
          </w:p>
        </w:tc>
        <w:tc>
          <w:tcPr>
            <w:tcW w:type="dxa" w:w="4986"/>
            <w:tcMar>
              <w:top w:w="120" w:type="dxa"/>
              <w:start w:w="140" w:type="dxa"/>
              <w:bottom w:w="120" w:type="dxa"/>
              <w:end w:w="140" w:type="dxa"/>
            </w:tcMar>
          </w:tcPr>
          <w:p>
            <w:r>
              <w:rPr>
                <w:rFonts w:ascii="DejaVu Sans" w:hAnsi="DejaVu Sans" w:eastAsia="DejaVu Sans"/>
                <w:b w:val="0"/>
                <w:i w:val="0"/>
                <w:sz w:val="19"/>
              </w:rPr>
              <w:t>[ПОСЛЕ РЕГИСТРАЦИИ]</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Руководитель</w:t>
            </w:r>
          </w:p>
        </w:tc>
        <w:tc>
          <w:tcPr>
            <w:tcW w:type="dxa" w:w="4986"/>
            <w:tcMar>
              <w:top w:w="120" w:type="dxa"/>
              <w:start w:w="140" w:type="dxa"/>
              <w:bottom w:w="120" w:type="dxa"/>
              <w:end w:w="140" w:type="dxa"/>
            </w:tcMar>
          </w:tcPr>
          <w:p>
            <w:r>
              <w:rPr>
                <w:rFonts w:ascii="DejaVu Sans" w:hAnsi="DejaVu Sans" w:eastAsia="DejaVu Sans"/>
                <w:b w:val="0"/>
                <w:i w:val="0"/>
                <w:sz w:val="19"/>
              </w:rPr>
              <w:t>[ФИО, ДОКУМЕНТ]</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Бенефициарный владелец</w:t>
            </w:r>
          </w:p>
        </w:tc>
        <w:tc>
          <w:tcPr>
            <w:tcW w:type="dxa" w:w="4986"/>
            <w:tcMar>
              <w:top w:w="120" w:type="dxa"/>
              <w:start w:w="140" w:type="dxa"/>
              <w:bottom w:w="120" w:type="dxa"/>
              <w:end w:w="140" w:type="dxa"/>
            </w:tcMar>
          </w:tcPr>
          <w:p>
            <w:r>
              <w:rPr>
                <w:rFonts w:ascii="DejaVu Sans" w:hAnsi="DejaVu Sans" w:eastAsia="DejaVu Sans"/>
                <w:b w:val="0"/>
                <w:i w:val="0"/>
                <w:sz w:val="19"/>
              </w:rPr>
              <w:t>[ФИО, ГРАЖДАНСТВО, ДОЛЯ]</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Адрес услуги</w:t>
            </w:r>
          </w:p>
        </w:tc>
        <w:tc>
          <w:tcPr>
            <w:tcW w:type="dxa" w:w="4986"/>
            <w:tcMar>
              <w:top w:w="120" w:type="dxa"/>
              <w:start w:w="140" w:type="dxa"/>
              <w:bottom w:w="120" w:type="dxa"/>
              <w:end w:w="140" w:type="dxa"/>
            </w:tcMar>
          </w:tcPr>
          <w:p>
            <w:r>
              <w:rPr>
                <w:rFonts w:ascii="DejaVu Sans" w:hAnsi="DejaVu Sans" w:eastAsia="DejaVu Sans"/>
                <w:b w:val="0"/>
                <w:i w:val="0"/>
                <w:sz w:val="19"/>
              </w:rPr>
              <w:t>Республика Армения, 0069, г. Ереван, административный район Канакер-Зейтун, ул. Рубинянц, д. 28, административное здание завода «Алмаст», 4-й этаж, помещение № 3</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Тариф</w:t>
            </w:r>
          </w:p>
        </w:tc>
        <w:tc>
          <w:tcPr>
            <w:tcW w:type="dxa" w:w="4986"/>
            <w:tcMar>
              <w:top w:w="120" w:type="dxa"/>
              <w:start w:w="140" w:type="dxa"/>
              <w:bottom w:w="120" w:type="dxa"/>
              <w:end w:w="140" w:type="dxa"/>
            </w:tcMar>
          </w:tcPr>
          <w:p>
            <w:r>
              <w:rPr>
                <w:rFonts w:ascii="DejaVu Sans" w:hAnsi="DejaVu Sans" w:eastAsia="DejaVu Sans"/>
                <w:b w:val="0"/>
                <w:i w:val="0"/>
                <w:sz w:val="19"/>
              </w:rPr>
              <w:t>120 000 AMD за 12 месяцев</w:t>
            </w:r>
          </w:p>
        </w:tc>
      </w:tr>
      <w:tr>
        <w:tc>
          <w:tcPr>
            <w:tcW w:type="dxa" w:w="4986"/>
            <w:shd w:fill="EAF1F8"/>
            <w:tcMar>
              <w:top w:w="120" w:type="dxa"/>
              <w:start w:w="140" w:type="dxa"/>
              <w:bottom w:w="120" w:type="dxa"/>
              <w:end w:w="140" w:type="dxa"/>
            </w:tcMar>
          </w:tcPr>
          <w:p>
            <w:r>
              <w:rPr>
                <w:rFonts w:ascii="DejaVu Sans" w:hAnsi="DejaVu Sans" w:eastAsia="DejaVu Sans"/>
                <w:b/>
                <w:i w:val="0"/>
                <w:color w:val="1F4E79"/>
                <w:sz w:val="19"/>
              </w:rPr>
              <w:t>Дата активации</w:t>
            </w:r>
          </w:p>
        </w:tc>
        <w:tc>
          <w:tcPr>
            <w:tcW w:type="dxa" w:w="4986"/>
            <w:tcMar>
              <w:top w:w="120" w:type="dxa"/>
              <w:start w:w="140" w:type="dxa"/>
              <w:bottom w:w="120" w:type="dxa"/>
              <w:end w:w="140" w:type="dxa"/>
            </w:tcMar>
          </w:tcPr>
          <w:p>
            <w:r>
              <w:rPr>
                <w:rFonts w:ascii="DejaVu Sans" w:hAnsi="DejaVu Sans" w:eastAsia="DejaVu Sans"/>
                <w:b w:val="0"/>
                <w:i w:val="0"/>
                <w:sz w:val="19"/>
              </w:rPr>
              <w:t>[ЗАПОЛНИТЬ]</w:t>
            </w:r>
          </w:p>
        </w:tc>
      </w:tr>
    </w:tbl>
    <w:p>
      <w:r>
        <w:br w:type="page"/>
      </w:r>
    </w:p>
    <w:p>
      <w:pPr>
        <w:pStyle w:val="Heading1"/>
      </w:pPr>
      <w:r>
        <w:t>ПРИЛОЖЕНИЕ № 2. АКТ АКТИВАЦИИ УСЛУГИ</w:t>
      </w:r>
    </w:p>
    <w:p>
      <w:r>
        <w:rPr>
          <w:rFonts w:ascii="DejaVu Sans" w:hAnsi="DejaVu Sans" w:eastAsia="DejaVu Sans"/>
          <w:b w:val="0"/>
          <w:i w:val="0"/>
          <w:sz w:val="21"/>
        </w:rPr>
        <w:t>Исполнитель предоставил документы, необходимые для использования адреса. Заказчик предоставил сведения и документы, предусмотренные договором.</w:t>
      </w:r>
    </w:p>
    <w:p>
      <w:r>
        <w:rPr>
          <w:rFonts w:ascii="DejaVu Sans" w:hAnsi="DejaVu Sans" w:eastAsia="DejaVu Sans"/>
          <w:b w:val="0"/>
          <w:i w:val="0"/>
          <w:sz w:val="21"/>
        </w:rPr>
        <w:t>Услуга активирована с «___» __________ 2026 г. по «___» __________ 2027 г. включительно.</w:t>
      </w:r>
    </w:p>
    <w:p>
      <w:r>
        <w:rPr>
          <w:rFonts w:ascii="DejaVu Sans" w:hAnsi="DejaVu Sans" w:eastAsia="DejaVu Sans"/>
          <w:b w:val="0"/>
          <w:i w:val="0"/>
          <w:sz w:val="21"/>
        </w:rPr>
        <w:t>Получатель услуги: [ПОЛНОЕ НАИМЕНОВАНИЕ].</w:t>
      </w:r>
    </w:p>
    <w:p>
      <w:r>
        <w:rPr>
          <w:rFonts w:ascii="DejaVu Sans" w:hAnsi="DejaVu Sans" w:eastAsia="DejaVu Sans"/>
          <w:b w:val="0"/>
          <w:i w:val="0"/>
          <w:sz w:val="21"/>
        </w:rPr>
        <w:t>Адрес: Республика Армения, 0069, г. Ереван, административный район Канакер-Зейтун, ул. Рубинянц, д. 28, административное здание завода «Алмаст», 4-й этаж, помещение № 3.</w:t>
      </w:r>
    </w:p>
    <w:p>
      <w:r>
        <w:rPr>
          <w:rFonts w:ascii="DejaVu Sans" w:hAnsi="DejaVu Sans" w:eastAsia="DejaVu Sans"/>
          <w:b w:val="0"/>
          <w:i w:val="0"/>
          <w:sz w:val="21"/>
        </w:rPr>
        <w:t>Подписи: Исполнитель __________________ / [ФИО]; Заказчик __________________ / [ФИО].</w:t>
      </w:r>
    </w:p>
    <w:p>
      <w:pPr>
        <w:sectPr>
          <w:pgSz w:w="12240" w:h="15840"/>
          <w:pgMar w:top="1134" w:right="1134" w:bottom="1020" w:left="1134" w:header="720" w:footer="720" w:gutter="0"/>
          <w:cols w:space="720"/>
          <w:docGrid w:linePitch="360"/>
        </w:sectPr>
      </w:pPr>
    </w:p>
    <w:p>
      <w:pPr>
        <w:jc w:val="center"/>
      </w:pPr>
      <w:r>
        <w:rPr>
          <w:rFonts w:ascii="DejaVu Sans" w:hAnsi="DejaVu Sans" w:eastAsia="DejaVu Sans"/>
          <w:b/>
          <w:i w:val="0"/>
          <w:color w:val="E77A1B"/>
          <w:sz w:val="20"/>
        </w:rPr>
        <w:t>ОБРАЗЕЦ / SAMPLE / ՆՄՈՒՇ</w:t>
      </w:r>
    </w:p>
    <w:p>
      <w:pPr>
        <w:pStyle w:val="Title"/>
        <w:jc w:val="center"/>
      </w:pPr>
      <w:r>
        <w:rPr>
          <w:rFonts w:ascii="DejaVu Sans" w:hAnsi="DejaVu Sans" w:eastAsia="DejaVu Sans"/>
          <w:b/>
          <w:i w:val="0"/>
          <w:color w:val="1F4E79"/>
          <w:sz w:val="32"/>
        </w:rPr>
        <w:t>SERVICES AGREEMENT</w:t>
        <w:br/>
        <w:t>FOR THE PROVISION OF A REGISTERED OFFICE ADDRESS</w:t>
      </w:r>
    </w:p>
    <w:p>
      <w:pPr>
        <w:jc w:val="center"/>
      </w:pPr>
      <w:r>
        <w:rPr>
          <w:rFonts w:ascii="DejaVu Sans" w:hAnsi="DejaVu Sans" w:eastAsia="DejaVu Sans"/>
          <w:b w:val="0"/>
          <w:i/>
          <w:color w:val="5B6573"/>
          <w:sz w:val="20"/>
        </w:rPr>
        <w:t>Mail handling is not included in this Agreement</w:t>
      </w:r>
    </w:p>
    <w:tbl>
      <w:tblPr>
        <w:tblW w:type="auto" w:w="0"/>
        <w:jc w:val="center"/>
        <w:tblLook w:firstColumn="1" w:firstRow="1" w:lastColumn="0" w:lastRow="0" w:noHBand="0" w:noVBand="1" w:val="04A0"/>
      </w:tblPr>
      <w:tblGrid>
        <w:gridCol w:w="9972"/>
      </w:tblGrid>
      <w:tr>
        <w:tc>
          <w:tcPr>
            <w:tcW w:type="dxa" w:w="9972"/>
            <w:shd w:fill="FFF3E8"/>
            <w:tcMar>
              <w:top w:w="140" w:type="dxa"/>
              <w:start w:w="180" w:type="dxa"/>
              <w:bottom w:w="140" w:type="dxa"/>
              <w:end w:w="180" w:type="dxa"/>
            </w:tcMar>
          </w:tcPr>
          <w:p>
            <w:r>
              <w:rPr>
                <w:rFonts w:ascii="DejaVu Sans" w:hAnsi="DejaVu Sans" w:eastAsia="DejaVu Sans"/>
                <w:b/>
                <w:i w:val="0"/>
                <w:color w:val="E77A1B"/>
                <w:sz w:val="19"/>
              </w:rPr>
              <w:t>Ознакомительный образец. Не является публичной офертой. Перед подписанием договор заполняется и согласовывается с учётом данных клиента, выбранного тарифа и фактических полномочий сторон.</w:t>
            </w:r>
          </w:p>
        </w:tc>
      </w:tr>
    </w:tbl>
    <w:p>
      <w:pPr>
        <w:spacing w:after="0"/>
      </w:pPr>
    </w:p>
    <w:tbl>
      <w:tblPr>
        <w:tblW w:type="auto" w:w="0"/>
        <w:jc w:val="center"/>
        <w:tblLook w:firstColumn="1" w:firstRow="1" w:lastColumn="0" w:lastRow="0" w:noHBand="0" w:noVBand="1" w:val="04A0"/>
      </w:tblPr>
      <w:tblGrid>
        <w:gridCol w:w="4986"/>
        <w:gridCol w:w="4986"/>
      </w:tblGrid>
      <w:tr>
        <w:tc>
          <w:tcPr>
            <w:tcW w:type="dxa" w:w="4986"/>
            <w:tcMar>
              <w:top w:w="120" w:type="dxa"/>
              <w:start w:w="140" w:type="dxa"/>
              <w:bottom w:w="120" w:type="dxa"/>
              <w:end w:w="140" w:type="dxa"/>
            </w:tcMar>
          </w:tcPr>
          <w:p>
            <w:r>
              <w:rPr>
                <w:rFonts w:ascii="DejaVu Sans" w:hAnsi="DejaVu Sans" w:eastAsia="DejaVu Sans"/>
                <w:b/>
                <w:i w:val="0"/>
                <w:color w:val="1F4E79"/>
                <w:sz w:val="19"/>
              </w:rPr>
              <w:t xml:space="preserve">Agreement No.: </w:t>
            </w:r>
            <w:r>
              <w:rPr>
                <w:rFonts w:ascii="DejaVu Sans" w:hAnsi="DejaVu Sans" w:eastAsia="DejaVu Sans"/>
                <w:b w:val="0"/>
                <w:i w:val="0"/>
                <w:sz w:val="19"/>
              </w:rPr>
              <w:t>[TO BE COMPLETED]</w:t>
            </w:r>
          </w:p>
        </w:tc>
        <w:tc>
          <w:tcPr>
            <w:tcW w:type="dxa" w:w="4986"/>
            <w:tcMar>
              <w:top w:w="120" w:type="dxa"/>
              <w:start w:w="140" w:type="dxa"/>
              <w:bottom w:w="120" w:type="dxa"/>
              <w:end w:w="140" w:type="dxa"/>
            </w:tcMar>
          </w:tcPr>
          <w:p>
            <w:r>
              <w:rPr>
                <w:rFonts w:ascii="DejaVu Sans" w:hAnsi="DejaVu Sans" w:eastAsia="DejaVu Sans"/>
                <w:b/>
                <w:i w:val="0"/>
                <w:color w:val="1F4E79"/>
                <w:sz w:val="19"/>
              </w:rPr>
              <w:t xml:space="preserve">Place and date: </w:t>
            </w:r>
            <w:r>
              <w:rPr>
                <w:rFonts w:ascii="DejaVu Sans" w:hAnsi="DejaVu Sans" w:eastAsia="DejaVu Sans"/>
                <w:b w:val="0"/>
                <w:i w:val="0"/>
                <w:sz w:val="19"/>
              </w:rPr>
              <w:t>Yerevan, “___” __________ 2026</w:t>
            </w:r>
          </w:p>
        </w:tc>
      </w:tr>
      <w:tr>
        <w:tc>
          <w:tcPr>
            <w:tcW w:type="dxa" w:w="4986"/>
            <w:tcMar>
              <w:top w:w="120" w:type="dxa"/>
              <w:start w:w="140" w:type="dxa"/>
              <w:bottom w:w="120" w:type="dxa"/>
              <w:end w:w="140" w:type="dxa"/>
            </w:tcMar>
          </w:tcPr>
          <w:p>
            <w:r>
              <w:rPr>
                <w:rFonts w:ascii="DejaVu Sans" w:hAnsi="DejaVu Sans" w:eastAsia="DejaVu Sans"/>
                <w:b/>
                <w:i w:val="0"/>
                <w:color w:val="1F4E79"/>
                <w:sz w:val="19"/>
              </w:rPr>
              <w:t xml:space="preserve">Price: </w:t>
            </w:r>
            <w:r>
              <w:rPr>
                <w:rFonts w:ascii="DejaVu Sans" w:hAnsi="DejaVu Sans" w:eastAsia="DejaVu Sans"/>
                <w:b w:val="0"/>
                <w:i w:val="0"/>
                <w:sz w:val="19"/>
              </w:rPr>
              <w:t>AMD 120,000 for 12 months</w:t>
            </w:r>
          </w:p>
        </w:tc>
        <w:tc>
          <w:tcPr>
            <w:tcW w:type="dxa" w:w="4986"/>
            <w:tcMar>
              <w:top w:w="120" w:type="dxa"/>
              <w:start w:w="140" w:type="dxa"/>
              <w:bottom w:w="120" w:type="dxa"/>
              <w:end w:w="140" w:type="dxa"/>
            </w:tcMar>
          </w:tcPr>
          <w:p>
            <w:r>
              <w:rPr>
                <w:rFonts w:ascii="DejaVu Sans" w:hAnsi="DejaVu Sans" w:eastAsia="DejaVu Sans"/>
                <w:b/>
                <w:i w:val="0"/>
                <w:color w:val="1F4E79"/>
                <w:sz w:val="19"/>
              </w:rPr>
              <w:t xml:space="preserve">Term: </w:t>
            </w:r>
            <w:r>
              <w:rPr>
                <w:rFonts w:ascii="DejaVu Sans" w:hAnsi="DejaVu Sans" w:eastAsia="DejaVu Sans"/>
                <w:b w:val="0"/>
                <w:i w:val="0"/>
                <w:sz w:val="19"/>
              </w:rPr>
              <w:t>12 months</w:t>
            </w:r>
          </w:p>
        </w:tc>
      </w:tr>
    </w:tbl>
    <w:p/>
    <w:p>
      <w:pPr>
        <w:pStyle w:val="Heading1"/>
      </w:pPr>
      <w:r>
        <w:t>1. PARTIES AND SERVICE RECIPIENT</w:t>
      </w:r>
    </w:p>
    <w:p>
      <w:r>
        <w:rPr>
          <w:rFonts w:ascii="DejaVu Sans" w:hAnsi="DejaVu Sans" w:eastAsia="DejaVu Sans"/>
          <w:b w:val="0"/>
          <w:i w:val="0"/>
          <w:sz w:val="21"/>
        </w:rPr>
        <w:t>If the legal entity has not yet been registered, the founder or authorized representative acts as the Customer, and the company being created is stated as the Service Recipient. Its registration details are added after incorporation.</w:t>
      </w:r>
    </w:p>
    <w:p>
      <w:pPr>
        <w:pStyle w:val="Heading1"/>
      </w:pPr>
      <w:r>
        <w:t>2. SUBJECT</w:t>
      </w:r>
    </w:p>
    <w:p>
      <w:r>
        <w:rPr>
          <w:rFonts w:ascii="DejaVu Sans" w:hAnsi="DejaVu Sans" w:eastAsia="DejaVu Sans"/>
          <w:b w:val="0"/>
          <w:i w:val="0"/>
          <w:sz w:val="21"/>
        </w:rPr>
        <w:t>The Provider grants the Service Recipient the right to use Republic of Armenia, 0069, Yerevan, Kanaker-Zeytun administrative district, 28 Rubinyants Street, administrative building of the Almast plant, 4th floor, premises No. 3 as its registered place of location for state registration.</w:t>
      </w:r>
    </w:p>
    <w:p>
      <w:r>
        <w:rPr>
          <w:rFonts w:ascii="DejaVu Sans" w:hAnsi="DejaVu Sans" w:eastAsia="DejaVu Sans"/>
          <w:b w:val="0"/>
          <w:i w:val="0"/>
          <w:sz w:val="21"/>
        </w:rPr>
        <w:t>This is a services agreement, not a lease, sublease, gratuitous use or transfer of possession. No permanent workplace, visitor reception or actual business operations are provided.</w:t>
      </w:r>
    </w:p>
    <w:p>
      <w:r>
        <w:rPr>
          <w:rFonts w:ascii="DejaVu Sans" w:hAnsi="DejaVu Sans" w:eastAsia="DejaVu Sans"/>
          <w:b w:val="0"/>
          <w:i w:val="0"/>
          <w:sz w:val="21"/>
        </w:rPr>
        <w:t>Receipt, notification, storage, opening, scanning and forwarding of correspondence are excluded and require a separate mail-handling agreement.</w:t>
      </w:r>
    </w:p>
    <w:p>
      <w:pPr>
        <w:pStyle w:val="Heading1"/>
      </w:pPr>
      <w:r>
        <w:t>3. INCLUDED SERVICE</w:t>
      </w:r>
    </w:p>
    <w:p>
      <w:pPr>
        <w:ind w:left="397" w:hanging="198"/>
      </w:pPr>
      <w:r>
        <w:rPr>
          <w:rFonts w:ascii="DejaVu Sans" w:hAnsi="DejaVu Sans" w:eastAsia="DejaVu Sans"/>
          <w:b w:val="0"/>
          <w:i w:val="0"/>
          <w:sz w:val="21"/>
        </w:rPr>
        <w:t>• the address for 12 months;</w:t>
      </w:r>
    </w:p>
    <w:p>
      <w:pPr>
        <w:ind w:left="397" w:hanging="198"/>
      </w:pPr>
      <w:r>
        <w:rPr>
          <w:rFonts w:ascii="DejaVu Sans" w:hAnsi="DejaVu Sans" w:eastAsia="DejaVu Sans"/>
          <w:b w:val="0"/>
          <w:i w:val="0"/>
          <w:sz w:val="21"/>
        </w:rPr>
        <w:t>• standard documents supporting use of the address for registration;</w:t>
      </w:r>
    </w:p>
    <w:p>
      <w:pPr>
        <w:ind w:left="397" w:hanging="198"/>
      </w:pPr>
      <w:r>
        <w:rPr>
          <w:rFonts w:ascii="DejaVu Sans" w:hAnsi="DejaVu Sans" w:eastAsia="DejaVu Sans"/>
          <w:b w:val="0"/>
          <w:i w:val="0"/>
          <w:sz w:val="21"/>
        </w:rPr>
        <w:t>• information required for the state register;</w:t>
      </w:r>
    </w:p>
    <w:p>
      <w:pPr>
        <w:ind w:left="397" w:hanging="198"/>
      </w:pPr>
      <w:r>
        <w:rPr>
          <w:rFonts w:ascii="DejaVu Sans" w:hAnsi="DejaVu Sans" w:eastAsia="DejaVu Sans"/>
          <w:b w:val="0"/>
          <w:i w:val="0"/>
          <w:sz w:val="21"/>
        </w:rPr>
        <w:t>• standard confirmation of validity during the paid term.</w:t>
      </w:r>
    </w:p>
    <w:p>
      <w:pPr>
        <w:pStyle w:val="Heading1"/>
      </w:pPr>
      <w:r>
        <w:t>4. PRICE AND PAYMENT</w:t>
      </w:r>
    </w:p>
    <w:p>
      <w:r>
        <w:rPr>
          <w:rFonts w:ascii="DejaVu Sans" w:hAnsi="DejaVu Sans" w:eastAsia="DejaVu Sans"/>
          <w:b w:val="0"/>
          <w:i w:val="0"/>
          <w:sz w:val="21"/>
        </w:rPr>
        <w:t>The price is AMD 120,000 for 12 months, normally paid in one instalment before activation.</w:t>
      </w:r>
    </w:p>
    <w:p>
      <w:r>
        <w:rPr>
          <w:rFonts w:ascii="DejaVu Sans" w:hAnsi="DejaVu Sans" w:eastAsia="DejaVu Sans"/>
          <w:b w:val="0"/>
          <w:i w:val="0"/>
          <w:sz w:val="21"/>
        </w:rPr>
        <w:t>AMD 10,000 monthly is available only where registration is handled by ABEXPRO and an accounting agreement is signed for at least 12 months. Monthly payments are instalments of the annual fee, not monthly rent.</w:t>
      </w:r>
    </w:p>
    <w:p>
      <w:r>
        <w:rPr>
          <w:rFonts w:ascii="DejaVu Sans" w:hAnsi="DejaVu Sans" w:eastAsia="DejaVu Sans"/>
          <w:b w:val="0"/>
          <w:i w:val="0"/>
          <w:sz w:val="21"/>
        </w:rPr>
        <w:t>State duties, translations, powers of attorney, apostilles, bank charges and other third-party costs are separate.</w:t>
      </w:r>
    </w:p>
    <w:p>
      <w:pPr>
        <w:pStyle w:val="Heading1"/>
      </w:pPr>
      <w:r>
        <w:t>5. PROVIDER OBLIGATIONS</w:t>
      </w:r>
    </w:p>
    <w:p>
      <w:pPr>
        <w:ind w:left="397" w:hanging="198"/>
      </w:pPr>
      <w:r>
        <w:rPr>
          <w:rFonts w:ascii="DejaVu Sans" w:hAnsi="DejaVu Sans" w:eastAsia="DejaVu Sans"/>
          <w:b w:val="0"/>
          <w:i w:val="0"/>
          <w:sz w:val="21"/>
        </w:rPr>
        <w:t>• maintain the legality and availability of the address;</w:t>
      </w:r>
    </w:p>
    <w:p>
      <w:pPr>
        <w:ind w:left="397" w:hanging="198"/>
      </w:pPr>
      <w:r>
        <w:rPr>
          <w:rFonts w:ascii="DejaVu Sans" w:hAnsi="DejaVu Sans" w:eastAsia="DejaVu Sans"/>
          <w:b w:val="0"/>
          <w:i w:val="0"/>
          <w:sz w:val="21"/>
        </w:rPr>
        <w:t>• provide documentary authority to offer the address;</w:t>
      </w:r>
    </w:p>
    <w:p>
      <w:pPr>
        <w:ind w:left="397" w:hanging="198"/>
      </w:pPr>
      <w:r>
        <w:rPr>
          <w:rFonts w:ascii="DejaVu Sans" w:hAnsi="DejaVu Sans" w:eastAsia="DejaVu Sans"/>
          <w:b w:val="0"/>
          <w:i w:val="0"/>
          <w:sz w:val="21"/>
        </w:rPr>
        <w:t>• use client information only for contractual purposes;</w:t>
      </w:r>
    </w:p>
    <w:p>
      <w:pPr>
        <w:ind w:left="397" w:hanging="198"/>
      </w:pPr>
      <w:r>
        <w:rPr>
          <w:rFonts w:ascii="DejaVu Sans" w:hAnsi="DejaVu Sans" w:eastAsia="DejaVu Sans"/>
          <w:b w:val="0"/>
          <w:i w:val="0"/>
          <w:sz w:val="21"/>
        </w:rPr>
        <w:t>• give advance notice if the address cannot continue to be provided.</w:t>
      </w:r>
    </w:p>
    <w:p>
      <w:pPr>
        <w:pStyle w:val="Heading1"/>
      </w:pPr>
      <w:r>
        <w:t>6. CUSTOMER OBLIGATIONS</w:t>
      </w:r>
    </w:p>
    <w:p>
      <w:pPr>
        <w:ind w:left="397" w:hanging="198"/>
      </w:pPr>
      <w:r>
        <w:rPr>
          <w:rFonts w:ascii="DejaVu Sans" w:hAnsi="DejaVu Sans" w:eastAsia="DejaVu Sans"/>
          <w:b w:val="0"/>
          <w:i w:val="0"/>
          <w:sz w:val="21"/>
        </w:rPr>
        <w:t>• provide accurate company, director, founder and beneficial-owner information;</w:t>
      </w:r>
    </w:p>
    <w:p>
      <w:pPr>
        <w:ind w:left="397" w:hanging="198"/>
      </w:pPr>
      <w:r>
        <w:rPr>
          <w:rFonts w:ascii="DejaVu Sans" w:hAnsi="DejaVu Sans" w:eastAsia="DejaVu Sans"/>
          <w:b w:val="0"/>
          <w:i w:val="0"/>
          <w:sz w:val="21"/>
        </w:rPr>
        <w:t>• use the address only for the Service Recipient and lawful purposes;</w:t>
      </w:r>
    </w:p>
    <w:p>
      <w:pPr>
        <w:ind w:left="397" w:hanging="198"/>
      </w:pPr>
      <w:r>
        <w:rPr>
          <w:rFonts w:ascii="DejaVu Sans" w:hAnsi="DejaVu Sans" w:eastAsia="DejaVu Sans"/>
          <w:b w:val="0"/>
          <w:i w:val="0"/>
          <w:sz w:val="21"/>
        </w:rPr>
        <w:t>• not place staff, goods, signage or visitors there without written agreement;</w:t>
      </w:r>
    </w:p>
    <w:p>
      <w:pPr>
        <w:ind w:left="397" w:hanging="198"/>
      </w:pPr>
      <w:r>
        <w:rPr>
          <w:rFonts w:ascii="DejaVu Sans" w:hAnsi="DejaVu Sans" w:eastAsia="DejaVu Sans"/>
          <w:b w:val="0"/>
          <w:i w:val="0"/>
          <w:sz w:val="21"/>
        </w:rPr>
        <w:t>• notify changes promptly;</w:t>
      </w:r>
    </w:p>
    <w:p>
      <w:pPr>
        <w:ind w:left="397" w:hanging="198"/>
      </w:pPr>
      <w:r>
        <w:rPr>
          <w:rFonts w:ascii="DejaVu Sans" w:hAnsi="DejaVu Sans" w:eastAsia="DejaVu Sans"/>
          <w:b w:val="0"/>
          <w:i w:val="0"/>
          <w:sz w:val="21"/>
        </w:rPr>
        <w:t>• register a new address after termination.</w:t>
      </w:r>
    </w:p>
    <w:p>
      <w:pPr>
        <w:pStyle w:val="Heading1"/>
      </w:pPr>
      <w:r>
        <w:t>7. CLIENT VERIFICATION</w:t>
      </w:r>
    </w:p>
    <w:p>
      <w:r>
        <w:rPr>
          <w:rFonts w:ascii="DejaVu Sans" w:hAnsi="DejaVu Sans" w:eastAsia="DejaVu Sans"/>
          <w:b w:val="0"/>
          <w:i w:val="0"/>
          <w:sz w:val="21"/>
        </w:rPr>
        <w:t>The Provider may request supporting documents and explanations. False data, unlawful activity or a substantiated risk of harm may result in refusal or termination.</w:t>
      </w:r>
    </w:p>
    <w:p>
      <w:pPr>
        <w:pStyle w:val="Heading1"/>
      </w:pPr>
      <w:r>
        <w:t>8. TERM AND TERMINATION</w:t>
      </w:r>
    </w:p>
    <w:p>
      <w:r>
        <w:rPr>
          <w:rFonts w:ascii="DejaVu Sans" w:hAnsi="DejaVu Sans" w:eastAsia="DejaVu Sans"/>
          <w:b w:val="0"/>
          <w:i w:val="0"/>
          <w:sz w:val="21"/>
        </w:rPr>
        <w:t>The term is 12 months from the activation certificate. Renewal is not automatic.</w:t>
      </w:r>
    </w:p>
    <w:p>
      <w:r>
        <w:rPr>
          <w:rFonts w:ascii="DejaVu Sans" w:hAnsi="DejaVu Sans" w:eastAsia="DejaVu Sans"/>
          <w:b w:val="0"/>
          <w:i w:val="0"/>
          <w:sz w:val="21"/>
        </w:rPr>
        <w:t>The Customer may withdraw with at least 30 calendar days’ written notice and payment for services and expenses actually incurred. A new address must be filed within 10 working days after termination.</w:t>
      </w:r>
    </w:p>
    <w:p>
      <w:r>
        <w:rPr>
          <w:rFonts w:ascii="DejaVu Sans" w:hAnsi="DejaVu Sans" w:eastAsia="DejaVu Sans"/>
          <w:b w:val="0"/>
          <w:i w:val="0"/>
          <w:sz w:val="21"/>
        </w:rPr>
        <w:t>If the address becomes unavailable for reasons attributable to the Provider, the Parties agree either a replacement for the remaining paid term or a proportional refund.</w:t>
      </w:r>
    </w:p>
    <w:p>
      <w:pPr>
        <w:pStyle w:val="Heading1"/>
      </w:pPr>
      <w:r>
        <w:t>9. LIABILITY, CONFIDENTIALITY AND DISPUTES</w:t>
      </w:r>
    </w:p>
    <w:p>
      <w:r>
        <w:rPr>
          <w:rFonts w:ascii="DejaVu Sans" w:hAnsi="DejaVu Sans" w:eastAsia="DejaVu Sans"/>
          <w:b w:val="0"/>
          <w:i w:val="0"/>
          <w:sz w:val="21"/>
        </w:rPr>
        <w:t>The Parties are liable under the laws of the Republic of Armenia. The Provider is not responsible for decisions of authorities, banks or other third parties.</w:t>
      </w:r>
    </w:p>
    <w:p>
      <w:r>
        <w:rPr>
          <w:rFonts w:ascii="DejaVu Sans" w:hAnsi="DejaVu Sans" w:eastAsia="DejaVu Sans"/>
          <w:b w:val="0"/>
          <w:i w:val="0"/>
          <w:sz w:val="21"/>
        </w:rPr>
        <w:t>Personal and confidential information is used only to perform the Agreement, verify the client, protect rights and comply with law.</w:t>
      </w:r>
    </w:p>
    <w:p>
      <w:r>
        <w:rPr>
          <w:rFonts w:ascii="DejaVu Sans" w:hAnsi="DejaVu Sans" w:eastAsia="DejaVu Sans"/>
          <w:b w:val="0"/>
          <w:i w:val="0"/>
          <w:sz w:val="21"/>
        </w:rPr>
        <w:t>A written claim procedure applies before court proceedings; the response period is 15 calendar days. Armenian courts have jurisdiction.</w:t>
      </w:r>
    </w:p>
    <w:p>
      <w:pPr>
        <w:pStyle w:val="Heading1"/>
      </w:pPr>
      <w:r>
        <w:t>10. LANGUAGES</w:t>
      </w:r>
    </w:p>
    <w:p>
      <w:r>
        <w:rPr>
          <w:rFonts w:ascii="DejaVu Sans" w:hAnsi="DejaVu Sans" w:eastAsia="DejaVu Sans"/>
          <w:b w:val="0"/>
          <w:i w:val="0"/>
          <w:sz w:val="21"/>
        </w:rPr>
        <w:t>The Agreement may be executed in Armenian, Russian and English. If texts differ, the Armenian text prevails.</w:t>
      </w:r>
    </w:p>
    <w:tbl>
      <w:tblPr>
        <w:tblW w:type="auto" w:w="0"/>
        <w:jc w:val="center"/>
        <w:tblLook w:firstColumn="1" w:firstRow="1" w:lastColumn="0" w:lastRow="0" w:noHBand="0" w:noVBand="1" w:val="04A0"/>
      </w:tblPr>
      <w:tblGrid>
        <w:gridCol w:w="4986"/>
        <w:gridCol w:w="4986"/>
      </w:tblGrid>
      <w:tr>
        <w:trPr>
          <w:tblHeader w:val="true"/>
        </w:trPr>
        <w:tc>
          <w:tcPr>
            <w:tcW w:type="dxa" w:w="4986"/>
            <w:shd w:fill="1F4E79"/>
            <w:tcMar>
              <w:top w:w="120" w:type="dxa"/>
              <w:start w:w="140" w:type="dxa"/>
              <w:bottom w:w="120" w:type="dxa"/>
              <w:end w:w="140" w:type="dxa"/>
            </w:tcMar>
          </w:tcPr>
          <w:p>
            <w:pPr>
              <w:jc w:val="center"/>
            </w:pPr>
            <w:r>
              <w:rPr>
                <w:rFonts w:ascii="DejaVu Sans" w:hAnsi="DejaVu Sans" w:eastAsia="DejaVu Sans"/>
                <w:b/>
                <w:i w:val="0"/>
                <w:color w:val="FFFFFF"/>
                <w:sz w:val="20"/>
              </w:rPr>
              <w:t>PROVIDER</w:t>
            </w:r>
          </w:p>
        </w:tc>
        <w:tc>
          <w:tcPr>
            <w:tcW w:type="dxa" w:w="4986"/>
            <w:shd w:fill="1F4E79"/>
            <w:tcMar>
              <w:top w:w="120" w:type="dxa"/>
              <w:start w:w="140" w:type="dxa"/>
              <w:bottom w:w="120" w:type="dxa"/>
              <w:end w:w="140" w:type="dxa"/>
            </w:tcMar>
          </w:tcPr>
          <w:p>
            <w:pPr>
              <w:jc w:val="center"/>
            </w:pPr>
            <w:r>
              <w:rPr>
                <w:rFonts w:ascii="DejaVu Sans" w:hAnsi="DejaVu Sans" w:eastAsia="DejaVu Sans"/>
                <w:b/>
                <w:i w:val="0"/>
                <w:color w:val="FFFFFF"/>
                <w:sz w:val="20"/>
              </w:rPr>
              <w:t>CUSTOMER</w:t>
            </w:r>
          </w:p>
        </w:tc>
      </w:tr>
      <w:tr>
        <w:tc>
          <w:tcPr>
            <w:tcW w:type="dxa" w:w="4986"/>
            <w:tcMar>
              <w:top w:w="160" w:type="dxa"/>
              <w:start w:w="160" w:type="dxa"/>
              <w:bottom w:w="160" w:type="dxa"/>
              <w:end w:w="160" w:type="dxa"/>
            </w:tcMar>
            <w:vAlign w:val="top"/>
          </w:tcPr>
          <w:p>
            <w:r>
              <w:rPr>
                <w:rFonts w:ascii="DejaVu Sans" w:hAnsi="DejaVu Sans" w:eastAsia="DejaVu Sans"/>
                <w:b w:val="0"/>
                <w:i w:val="0"/>
                <w:sz w:val="18"/>
              </w:rPr>
              <w:t>AB Expert Project LLC</w:t>
            </w:r>
            <w:r>
              <w:br/>
            </w:r>
            <w:r>
              <w:rPr>
                <w:rFonts w:ascii="DejaVu Sans" w:hAnsi="DejaVu Sans" w:eastAsia="DejaVu Sans"/>
                <w:b w:val="0"/>
                <w:i w:val="0"/>
                <w:sz w:val="18"/>
              </w:rPr>
              <w:t>Armenian name: [TO BE COMPLETED]</w:t>
            </w:r>
            <w:r>
              <w:br/>
            </w:r>
            <w:r>
              <w:rPr>
                <w:rFonts w:ascii="DejaVu Sans" w:hAnsi="DejaVu Sans" w:eastAsia="DejaVu Sans"/>
                <w:b w:val="0"/>
                <w:i w:val="0"/>
                <w:sz w:val="18"/>
              </w:rPr>
              <w:t>Registration No.: [TO BE COMPLETED]</w:t>
            </w:r>
            <w:r>
              <w:br/>
            </w:r>
            <w:r>
              <w:rPr>
                <w:rFonts w:ascii="DejaVu Sans" w:hAnsi="DejaVu Sans" w:eastAsia="DejaVu Sans"/>
                <w:b w:val="0"/>
                <w:i w:val="0"/>
                <w:sz w:val="18"/>
              </w:rPr>
              <w:t>TIN: [TO BE COMPLETED]</w:t>
            </w:r>
            <w:r>
              <w:br/>
            </w:r>
            <w:r>
              <w:rPr>
                <w:rFonts w:ascii="DejaVu Sans" w:hAnsi="DejaVu Sans" w:eastAsia="DejaVu Sans"/>
                <w:b w:val="0"/>
                <w:i w:val="0"/>
                <w:sz w:val="18"/>
              </w:rPr>
              <w:t>Address: Republic of Armenia, 0069, Yerevan, Kanaker-Zeytun administrative district, 28 Rubinyants Street, administrative building of the Almast plant, 4th floor, premises No. 3</w:t>
            </w:r>
            <w:r>
              <w:br/>
            </w:r>
            <w:r>
              <w:rPr>
                <w:rFonts w:ascii="DejaVu Sans" w:hAnsi="DejaVu Sans" w:eastAsia="DejaVu Sans"/>
                <w:b w:val="0"/>
                <w:i w:val="0"/>
                <w:sz w:val="18"/>
              </w:rPr>
              <w:t>Phone: +374 55 908 689</w:t>
            </w:r>
            <w:r>
              <w:br/>
            </w:r>
            <w:r>
              <w:rPr>
                <w:rFonts w:ascii="DejaVu Sans" w:hAnsi="DejaVu Sans" w:eastAsia="DejaVu Sans"/>
                <w:b w:val="0"/>
                <w:i w:val="0"/>
                <w:sz w:val="18"/>
              </w:rPr>
              <w:t>Email: info@abexpro.am</w:t>
            </w:r>
            <w:r>
              <w:br/>
            </w:r>
            <w:r>
              <w:rPr>
                <w:rFonts w:ascii="DejaVu Sans" w:hAnsi="DejaVu Sans" w:eastAsia="DejaVu Sans"/>
                <w:b w:val="0"/>
                <w:i w:val="0"/>
                <w:sz w:val="18"/>
              </w:rPr>
              <w:t>Website: abexpro.am</w:t>
            </w:r>
            <w:r>
              <w:br/>
            </w:r>
            <w:r>
              <w:rPr>
                <w:rFonts w:ascii="DejaVu Sans" w:hAnsi="DejaVu Sans" w:eastAsia="DejaVu Sans"/>
                <w:b w:val="0"/>
                <w:i w:val="0"/>
                <w:sz w:val="18"/>
              </w:rPr>
              <w:t>Bank and account: [TO BE COMPLETED]</w:t>
            </w:r>
            <w:r>
              <w:br/>
            </w:r>
            <w:r>
              <w:rPr>
                <w:rFonts w:ascii="DejaVu Sans" w:hAnsi="DejaVu Sans" w:eastAsia="DejaVu Sans"/>
                <w:b w:val="0"/>
                <w:i w:val="0"/>
                <w:sz w:val="18"/>
              </w:rPr>
              <w:t>Director: [FULL NAME]</w:t>
            </w:r>
            <w:r>
              <w:br/>
            </w:r>
            <w:r>
              <w:rPr>
                <w:rFonts w:ascii="DejaVu Sans" w:hAnsi="DejaVu Sans" w:eastAsia="DejaVu Sans"/>
                <w:b w:val="0"/>
                <w:i w:val="0"/>
                <w:sz w:val="18"/>
              </w:rPr>
            </w:r>
            <w:r>
              <w:br/>
            </w:r>
            <w:r>
              <w:rPr>
                <w:rFonts w:ascii="DejaVu Sans" w:hAnsi="DejaVu Sans" w:eastAsia="DejaVu Sans"/>
                <w:b w:val="0"/>
                <w:i w:val="0"/>
                <w:sz w:val="18"/>
              </w:rPr>
              <w:t>Signature: __________________</w:t>
            </w:r>
          </w:p>
        </w:tc>
        <w:tc>
          <w:tcPr>
            <w:tcW w:type="dxa" w:w="4986"/>
            <w:tcMar>
              <w:top w:w="160" w:type="dxa"/>
              <w:start w:w="160" w:type="dxa"/>
              <w:bottom w:w="160" w:type="dxa"/>
              <w:end w:w="160" w:type="dxa"/>
            </w:tcMar>
            <w:vAlign w:val="top"/>
          </w:tcPr>
          <w:p>
            <w:r>
              <w:rPr>
                <w:rFonts w:ascii="DejaVu Sans" w:hAnsi="DejaVu Sans" w:eastAsia="DejaVu Sans"/>
                <w:b w:val="0"/>
                <w:i w:val="0"/>
                <w:sz w:val="18"/>
              </w:rPr>
              <w:t>[LEGAL NAME / FULL NAME]</w:t>
            </w:r>
            <w:r>
              <w:br/>
            </w:r>
            <w:r>
              <w:rPr>
                <w:rFonts w:ascii="DejaVu Sans" w:hAnsi="DejaVu Sans" w:eastAsia="DejaVu Sans"/>
                <w:b w:val="0"/>
                <w:i w:val="0"/>
                <w:sz w:val="18"/>
              </w:rPr>
              <w:t>Registration or passport details: [TO BE COMPLETED]</w:t>
            </w:r>
            <w:r>
              <w:br/>
            </w:r>
            <w:r>
              <w:rPr>
                <w:rFonts w:ascii="DejaVu Sans" w:hAnsi="DejaVu Sans" w:eastAsia="DejaVu Sans"/>
                <w:b w:val="0"/>
                <w:i w:val="0"/>
                <w:sz w:val="18"/>
              </w:rPr>
              <w:t>TIN / identifier: [TO BE COMPLETED]</w:t>
            </w:r>
            <w:r>
              <w:br/>
            </w:r>
            <w:r>
              <w:rPr>
                <w:rFonts w:ascii="DejaVu Sans" w:hAnsi="DejaVu Sans" w:eastAsia="DejaVu Sans"/>
                <w:b w:val="0"/>
                <w:i w:val="0"/>
                <w:sz w:val="18"/>
              </w:rPr>
              <w:t>Address: [TO BE COMPLETED]</w:t>
            </w:r>
            <w:r>
              <w:br/>
            </w:r>
            <w:r>
              <w:rPr>
                <w:rFonts w:ascii="DejaVu Sans" w:hAnsi="DejaVu Sans" w:eastAsia="DejaVu Sans"/>
                <w:b w:val="0"/>
                <w:i w:val="0"/>
                <w:sz w:val="18"/>
              </w:rPr>
              <w:t>Phone: [TO BE COMPLETED]</w:t>
            </w:r>
            <w:r>
              <w:br/>
            </w:r>
            <w:r>
              <w:rPr>
                <w:rFonts w:ascii="DejaVu Sans" w:hAnsi="DejaVu Sans" w:eastAsia="DejaVu Sans"/>
                <w:b w:val="0"/>
                <w:i w:val="0"/>
                <w:sz w:val="18"/>
              </w:rPr>
              <w:t>Email: [TO BE COMPLETED]</w:t>
            </w:r>
            <w:r>
              <w:br/>
            </w:r>
            <w:r>
              <w:rPr>
                <w:rFonts w:ascii="DejaVu Sans" w:hAnsi="DejaVu Sans" w:eastAsia="DejaVu Sans"/>
                <w:b w:val="0"/>
                <w:i w:val="0"/>
                <w:sz w:val="18"/>
              </w:rPr>
              <w:t>Bank and account: [TO BE COMPLETED]</w:t>
            </w:r>
            <w:r>
              <w:br/>
            </w:r>
            <w:r>
              <w:rPr>
                <w:rFonts w:ascii="DejaVu Sans" w:hAnsi="DejaVu Sans" w:eastAsia="DejaVu Sans"/>
                <w:b w:val="0"/>
                <w:i w:val="0"/>
                <w:sz w:val="18"/>
              </w:rPr>
              <w:t>Representative: [FULL NAME]</w:t>
            </w:r>
            <w:r>
              <w:br/>
            </w:r>
            <w:r>
              <w:rPr>
                <w:rFonts w:ascii="DejaVu Sans" w:hAnsi="DejaVu Sans" w:eastAsia="DejaVu Sans"/>
                <w:b w:val="0"/>
                <w:i w:val="0"/>
                <w:sz w:val="18"/>
              </w:rPr>
            </w:r>
            <w:r>
              <w:br/>
            </w:r>
            <w:r>
              <w:rPr>
                <w:rFonts w:ascii="DejaVu Sans" w:hAnsi="DejaVu Sans" w:eastAsia="DejaVu Sans"/>
                <w:b w:val="0"/>
                <w:i w:val="0"/>
                <w:sz w:val="18"/>
              </w:rPr>
              <w:t>Signature: __________________</w:t>
            </w:r>
          </w:p>
        </w:tc>
      </w:tr>
    </w:tbl>
    <w:sectPr w:rsidR="00FC693F" w:rsidRPr="0006063C" w:rsidSect="00034616">
      <w:pgSz w:w="12240" w:h="15840"/>
      <w:pgMar w:top="1134"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b w:val="0"/>
        <w:i w:val="0"/>
        <w:color w:val="5B6573"/>
        <w:sz w:val="16"/>
      </w:rPr>
      <w:t>ABEXPRO · +374 55 908 689 · info@abexpro.am · abexpro.am</w:t>
    </w:r>
    <w:r>
      <w:rPr>
        <w:rFonts w:ascii="DejaVu Sans" w:hAnsi="DejaVu Sans" w:eastAsia="DejaVu Sans"/>
        <w:b w:val="0"/>
        <w:i w:val="0"/>
        <w:color w:val="5B6573"/>
        <w:sz w:val="16"/>
      </w:rPr>
      <w:t>ABEXPRO · +374 55 908 689 · info@abexpro.am · abexpro.am</w:t>
    </w:r>
    <w:r>
      <w:rPr>
        <w:rFonts w:ascii="DejaVu Sans" w:hAnsi="DejaVu Sans" w:eastAsia="DejaVu Sans"/>
        <w:b w:val="0"/>
        <w:i w:val="0"/>
        <w:color w:val="5B6573"/>
        <w:sz w:val="16"/>
      </w:rPr>
      <w:t>ABEXPRO · +374 55 908 689 · info@abexpro.am · abexpro.am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2268"/>
      <w:gridCol w:w="7654"/>
    </w:tblGrid>
    <w:tr>
      <w:tc>
        <w:tcPr>
          <w:tcW w:type="dxa" w:w="4961"/>
          <w:tcMar>
            <w:top w:w="0" w:type="dxa"/>
            <w:start w:w="0" w:type="dxa"/>
            <w:bottom w:w="0" w:type="dxa"/>
            <w:end w:w="0" w:type="dxa"/>
          </w:tcMar>
        </w:tcPr>
        <w:p>
          <w:pPr>
            <w:jc w:val="left"/>
          </w:pPr>
          <w:r>
            <w:drawing>
              <wp:inline xmlns:a="http://schemas.openxmlformats.org/drawingml/2006/main" xmlns:pic="http://schemas.openxmlformats.org/drawingml/2006/picture">
                <wp:extent cx="756000" cy="756000"/>
                <wp:docPr id="1" name="Picture 1"/>
                <wp:cNvGraphicFramePr>
                  <a:graphicFrameLocks noChangeAspect="1"/>
                </wp:cNvGraphicFramePr>
                <a:graphic>
                  <a:graphicData uri="http://schemas.openxmlformats.org/drawingml/2006/picture">
                    <pic:pic>
                      <pic:nvPicPr>
                        <pic:cNvPr id="0" name="abexpro-logo.jpg"/>
                        <pic:cNvPicPr/>
                      </pic:nvPicPr>
                      <pic:blipFill>
                        <a:blip r:embed="rId1"/>
                        <a:stretch>
                          <a:fillRect/>
                        </a:stretch>
                      </pic:blipFill>
                      <pic:spPr>
                        <a:xfrm>
                          <a:off x="0" y="0"/>
                          <a:ext cx="756000" cy="756000"/>
                        </a:xfrm>
                        <a:prstGeom prst="rect"/>
                      </pic:spPr>
                    </pic:pic>
                  </a:graphicData>
                </a:graphic>
              </wp:inline>
            </w:drawing>
          </w:r>
        </w:p>
      </w:tc>
      <w:tc>
        <w:tcPr>
          <w:tcW w:type="dxa" w:w="4961"/>
          <w:tcMar>
            <w:top w:w="0" w:type="dxa"/>
            <w:start w:w="0" w:type="dxa"/>
            <w:bottom w:w="0" w:type="dxa"/>
            <w:end w:w="0" w:type="dxa"/>
          </w:tcMar>
        </w:tcPr>
        <w:p>
          <w:pPr>
            <w:jc w:val="right"/>
          </w:pPr>
          <w:r>
            <w:rPr>
              <w:rFonts w:ascii="DejaVu Sans" w:hAnsi="DejaVu Sans" w:eastAsia="DejaVu Sans"/>
              <w:b/>
              <w:i w:val="0"/>
              <w:color w:val="1F4E79"/>
              <w:sz w:val="21"/>
            </w:rPr>
            <w:t>AB Expert Project LLC</w:t>
            <w:br/>
            <w:br/>
            <w:br/>
          </w:r>
          <w:r>
            <w:rPr>
              <w:rFonts w:ascii="DejaVu Sans" w:hAnsi="DejaVu Sans" w:eastAsia="DejaVu Sans"/>
              <w:b w:val="0"/>
              <w:i w:val="0"/>
              <w:color w:val="5B6573"/>
              <w:sz w:val="17"/>
            </w:rPr>
            <w:t>+374 55 908 689</w:t>
          </w:r>
          <w:r>
            <w:rPr>
              <w:rFonts w:ascii="DejaVu Sans" w:hAnsi="DejaVu Sans" w:eastAsia="DejaVu Sans"/>
              <w:b w:val="0"/>
              <w:i w:val="0"/>
              <w:color w:val="5B6573"/>
              <w:sz w:val="17"/>
            </w:rPr>
            <w:t>info@abexpro.am</w:t>
          </w:r>
          <w:r>
            <w:rPr>
              <w:rFonts w:ascii="DejaVu Sans" w:hAnsi="DejaVu Sans" w:eastAsia="DejaVu Sans"/>
              <w:b w:val="0"/>
              <w:i w:val="0"/>
              <w:color w:val="5B6573"/>
              <w:sz w:val="17"/>
            </w:rPr>
            <w:t>abexpro.am</w:t>
          </w:r>
        </w:p>
      </w:tc>
    </w:tr>
  </w:tbl>
  <w:tbl>
    <w:tblPr>
      <w:tblW w:type="auto" w:w="0"/>
      <w:jc w:val="center"/>
      <w:tblLook w:firstColumn="1" w:firstRow="1" w:lastColumn="0" w:lastRow="0" w:noHBand="0" w:noVBand="1" w:val="04A0"/>
    </w:tblPr>
    <w:tblGrid>
      <w:gridCol w:w="2268"/>
      <w:gridCol w:w="7654"/>
    </w:tblGrid>
    <w:tr>
      <w:tc>
        <w:tcPr>
          <w:tcW w:type="dxa" w:w="4961"/>
          <w:tcMar>
            <w:top w:w="0" w:type="dxa"/>
            <w:start w:w="0" w:type="dxa"/>
            <w:bottom w:w="0" w:type="dxa"/>
            <w:end w:w="0" w:type="dxa"/>
          </w:tcMar>
        </w:tcPr>
        <w:p>
          <w:pPr>
            <w:jc w:val="left"/>
          </w:pPr>
          <w:r>
            <w:drawing>
              <wp:inline xmlns:a="http://schemas.openxmlformats.org/drawingml/2006/main" xmlns:pic="http://schemas.openxmlformats.org/drawingml/2006/picture">
                <wp:extent cx="756000" cy="756000"/>
                <wp:docPr id="2" name="Picture 2"/>
                <wp:cNvGraphicFramePr>
                  <a:graphicFrameLocks noChangeAspect="1"/>
                </wp:cNvGraphicFramePr>
                <a:graphic>
                  <a:graphicData uri="http://schemas.openxmlformats.org/drawingml/2006/picture">
                    <pic:pic>
                      <pic:nvPicPr>
                        <pic:cNvPr id="0" name="abexpro-logo.jpg"/>
                        <pic:cNvPicPr/>
                      </pic:nvPicPr>
                      <pic:blipFill>
                        <a:blip r:embed="rId1"/>
                        <a:stretch>
                          <a:fillRect/>
                        </a:stretch>
                      </pic:blipFill>
                      <pic:spPr>
                        <a:xfrm>
                          <a:off x="0" y="0"/>
                          <a:ext cx="756000" cy="756000"/>
                        </a:xfrm>
                        <a:prstGeom prst="rect"/>
                      </pic:spPr>
                    </pic:pic>
                  </a:graphicData>
                </a:graphic>
              </wp:inline>
            </w:drawing>
          </w:r>
        </w:p>
      </w:tc>
      <w:tc>
        <w:tcPr>
          <w:tcW w:type="dxa" w:w="4961"/>
          <w:tcMar>
            <w:top w:w="0" w:type="dxa"/>
            <w:start w:w="0" w:type="dxa"/>
            <w:bottom w:w="0" w:type="dxa"/>
            <w:end w:w="0" w:type="dxa"/>
          </w:tcMar>
        </w:tcPr>
        <w:p>
          <w:pPr>
            <w:jc w:val="right"/>
          </w:pPr>
          <w:r>
            <w:rPr>
              <w:rFonts w:ascii="DejaVu Sans" w:hAnsi="DejaVu Sans" w:eastAsia="DejaVu Sans"/>
              <w:b/>
              <w:i w:val="0"/>
              <w:color w:val="1F4E79"/>
              <w:sz w:val="21"/>
            </w:rPr>
            <w:t>AB Expert Project LLC</w:t>
            <w:br/>
            <w:br/>
            <w:br/>
          </w:r>
          <w:r>
            <w:rPr>
              <w:rFonts w:ascii="DejaVu Sans" w:hAnsi="DejaVu Sans" w:eastAsia="DejaVu Sans"/>
              <w:b w:val="0"/>
              <w:i w:val="0"/>
              <w:color w:val="5B6573"/>
              <w:sz w:val="17"/>
            </w:rPr>
            <w:t>+374 55 908 689</w:t>
          </w:r>
          <w:r>
            <w:rPr>
              <w:rFonts w:ascii="DejaVu Sans" w:hAnsi="DejaVu Sans" w:eastAsia="DejaVu Sans"/>
              <w:b w:val="0"/>
              <w:i w:val="0"/>
              <w:color w:val="5B6573"/>
              <w:sz w:val="17"/>
            </w:rPr>
            <w:t>info@abexpro.am</w:t>
          </w:r>
          <w:r>
            <w:rPr>
              <w:rFonts w:ascii="DejaVu Sans" w:hAnsi="DejaVu Sans" w:eastAsia="DejaVu Sans"/>
              <w:b w:val="0"/>
              <w:i w:val="0"/>
              <w:color w:val="5B6573"/>
              <w:sz w:val="17"/>
            </w:rPr>
            <w:t>abexpro.am</w:t>
          </w:r>
        </w:p>
      </w:tc>
    </w:tr>
  </w:tbl>
  <w:tbl>
    <w:tblPr>
      <w:tblW w:type="auto" w:w="0"/>
      <w:jc w:val="center"/>
      <w:tblLook w:firstColumn="1" w:firstRow="1" w:lastColumn="0" w:lastRow="0" w:noHBand="0" w:noVBand="1" w:val="04A0"/>
    </w:tblPr>
    <w:tblGrid>
      <w:gridCol w:w="2268"/>
      <w:gridCol w:w="7654"/>
    </w:tblGrid>
    <w:tr>
      <w:tc>
        <w:tcPr>
          <w:tcW w:type="dxa" w:w="4961"/>
          <w:tcMar>
            <w:top w:w="0" w:type="dxa"/>
            <w:start w:w="0" w:type="dxa"/>
            <w:bottom w:w="0" w:type="dxa"/>
            <w:end w:w="0" w:type="dxa"/>
          </w:tcMar>
        </w:tcPr>
        <w:p>
          <w:pPr>
            <w:jc w:val="left"/>
          </w:pPr>
          <w:r>
            <w:drawing>
              <wp:inline xmlns:a="http://schemas.openxmlformats.org/drawingml/2006/main" xmlns:pic="http://schemas.openxmlformats.org/drawingml/2006/picture">
                <wp:extent cx="756000" cy="756000"/>
                <wp:docPr id="3" name="Picture 3"/>
                <wp:cNvGraphicFramePr>
                  <a:graphicFrameLocks noChangeAspect="1"/>
                </wp:cNvGraphicFramePr>
                <a:graphic>
                  <a:graphicData uri="http://schemas.openxmlformats.org/drawingml/2006/picture">
                    <pic:pic>
                      <pic:nvPicPr>
                        <pic:cNvPr id="0" name="abexpro-logo.jpg"/>
                        <pic:cNvPicPr/>
                      </pic:nvPicPr>
                      <pic:blipFill>
                        <a:blip r:embed="rId1"/>
                        <a:stretch>
                          <a:fillRect/>
                        </a:stretch>
                      </pic:blipFill>
                      <pic:spPr>
                        <a:xfrm>
                          <a:off x="0" y="0"/>
                          <a:ext cx="756000" cy="756000"/>
                        </a:xfrm>
                        <a:prstGeom prst="rect"/>
                      </pic:spPr>
                    </pic:pic>
                  </a:graphicData>
                </a:graphic>
              </wp:inline>
            </w:drawing>
          </w:r>
        </w:p>
      </w:tc>
      <w:tc>
        <w:tcPr>
          <w:tcW w:type="dxa" w:w="4961"/>
          <w:tcMar>
            <w:top w:w="0" w:type="dxa"/>
            <w:start w:w="0" w:type="dxa"/>
            <w:bottom w:w="0" w:type="dxa"/>
            <w:end w:w="0" w:type="dxa"/>
          </w:tcMar>
        </w:tcPr>
        <w:p>
          <w:pPr>
            <w:jc w:val="right"/>
          </w:pPr>
          <w:r>
            <w:rPr>
              <w:rFonts w:ascii="DejaVu Sans" w:hAnsi="DejaVu Sans" w:eastAsia="DejaVu Sans"/>
              <w:b/>
              <w:i w:val="0"/>
              <w:color w:val="1F4E79"/>
              <w:sz w:val="21"/>
            </w:rPr>
            <w:t>AB Expert Project LLC</w:t>
            <w:br/>
            <w:br/>
            <w:br/>
          </w:r>
          <w:r>
            <w:rPr>
              <w:rFonts w:ascii="DejaVu Sans" w:hAnsi="DejaVu Sans" w:eastAsia="DejaVu Sans"/>
              <w:b w:val="0"/>
              <w:i w:val="0"/>
              <w:color w:val="5B6573"/>
              <w:sz w:val="17"/>
            </w:rPr>
            <w:t>+374 55 908 689</w:t>
          </w:r>
          <w:r>
            <w:rPr>
              <w:rFonts w:ascii="DejaVu Sans" w:hAnsi="DejaVu Sans" w:eastAsia="DejaVu Sans"/>
              <w:b w:val="0"/>
              <w:i w:val="0"/>
              <w:color w:val="5B6573"/>
              <w:sz w:val="17"/>
            </w:rPr>
            <w:t>info@abexpro.am</w:t>
          </w:r>
          <w:r>
            <w:rPr>
              <w:rFonts w:ascii="DejaVu Sans" w:hAnsi="DejaVu Sans" w:eastAsia="DejaVu Sans"/>
              <w:b w:val="0"/>
              <w:i w:val="0"/>
              <w:color w:val="5B6573"/>
              <w:sz w:val="17"/>
            </w:rPr>
            <w:t>abexpro.am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DejaVu Sans" w:hAnsi="DejaVu Sans" w:eastAsia="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eastAsia="DejaVu Sans"/>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eastAsia="DejaVu Sans"/>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DejaVu Sans" w:hAnsi="DejaVu Sans" w:eastAsia="DejaVu Sans"/>
      <w:b/>
      <w:color w:val="1F4E7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